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rPr>
        <w:drawing>
          <wp:inline distT="0" distB="0" distL="0" distR="0" wp14:anchorId="3A4112DC" wp14:editId="55DAD3D7">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1C7CB53" w:rsidR="00333FAA" w:rsidRPr="005E3A10" w:rsidRDefault="00523B2F" w:rsidP="00214849">
            <w:pPr>
              <w:spacing w:before="120"/>
              <w:rPr>
                <w:rFonts w:cs="Arial"/>
                <w:szCs w:val="24"/>
              </w:rPr>
            </w:pPr>
            <w:r>
              <w:rPr>
                <w:rFonts w:cs="Arial"/>
                <w:szCs w:val="24"/>
              </w:rPr>
              <w:t>23rd</w:t>
            </w:r>
            <w:r w:rsidR="00EA5D84">
              <w:rPr>
                <w:rFonts w:cs="Arial"/>
                <w:szCs w:val="24"/>
              </w:rPr>
              <w:t xml:space="preserve"> September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06B74B52" w:rsidR="00333FAA" w:rsidRPr="005E3A10" w:rsidRDefault="00297F72" w:rsidP="00AC6412">
            <w:pPr>
              <w:spacing w:before="120" w:after="240"/>
              <w:rPr>
                <w:rFonts w:cs="Arial"/>
                <w:szCs w:val="24"/>
              </w:rPr>
            </w:pPr>
            <w:r>
              <w:rPr>
                <w:rFonts w:cs="Arial"/>
                <w:szCs w:val="24"/>
              </w:rPr>
              <w:t>Re-procurement of Fuel Card Services Contract</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69388B9" w14:textId="5B73D43C" w:rsidR="001C7E35" w:rsidRPr="00052320" w:rsidRDefault="001C7E35" w:rsidP="001C7E35">
            <w:pPr>
              <w:pStyle w:val="Infotext"/>
              <w:rPr>
                <w:rFonts w:cs="Arial"/>
                <w:sz w:val="24"/>
                <w:szCs w:val="24"/>
              </w:rPr>
            </w:pPr>
            <w:r w:rsidRPr="005E3A10">
              <w:rPr>
                <w:rFonts w:cs="Arial"/>
                <w:sz w:val="24"/>
                <w:szCs w:val="24"/>
              </w:rPr>
              <w:t>Yes</w:t>
            </w:r>
          </w:p>
          <w:p w14:paraId="3EADF2B3" w14:textId="77777777" w:rsidR="00333FAA" w:rsidRPr="005E3A10" w:rsidRDefault="00333FAA" w:rsidP="00052320">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3E2F7CA1" w:rsidR="001C7E35" w:rsidRPr="005E3A10" w:rsidRDefault="00EA5D84" w:rsidP="00D835CF">
            <w:pPr>
              <w:pStyle w:val="Infotext"/>
              <w:rPr>
                <w:rFonts w:cs="Arial"/>
                <w:sz w:val="24"/>
                <w:szCs w:val="24"/>
              </w:rPr>
            </w:pPr>
            <w:r>
              <w:rPr>
                <w:rFonts w:cs="Arial"/>
                <w:sz w:val="24"/>
                <w:szCs w:val="24"/>
              </w:rPr>
              <w:t>Dipti Patel</w:t>
            </w:r>
            <w:r w:rsidR="007C4A93">
              <w:rPr>
                <w:rFonts w:cs="Arial"/>
                <w:sz w:val="24"/>
                <w:szCs w:val="24"/>
              </w:rPr>
              <w:t xml:space="preserve"> – Corporate Director for Community</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190BF8" w:rsidRDefault="001C7E35" w:rsidP="00C869F3">
            <w:pPr>
              <w:pStyle w:val="Infotext"/>
              <w:spacing w:after="240"/>
              <w:rPr>
                <w:rFonts w:ascii="Arial Black" w:hAnsi="Arial Black"/>
              </w:rPr>
            </w:pPr>
            <w:r w:rsidRPr="00190BF8">
              <w:rPr>
                <w:rFonts w:ascii="Arial Black" w:hAnsi="Arial Black"/>
              </w:rPr>
              <w:t>Portfolio Holder:</w:t>
            </w:r>
          </w:p>
        </w:tc>
        <w:tc>
          <w:tcPr>
            <w:tcW w:w="5054" w:type="dxa"/>
          </w:tcPr>
          <w:p w14:paraId="39A9A01A" w14:textId="51EB735F" w:rsidR="001C7E35" w:rsidRPr="00190BF8" w:rsidRDefault="00D3458C" w:rsidP="007A2A57">
            <w:pPr>
              <w:pStyle w:val="Infotext"/>
              <w:spacing w:before="120"/>
              <w:rPr>
                <w:rFonts w:cs="Arial"/>
                <w:color w:val="FF0000"/>
                <w:sz w:val="24"/>
                <w:szCs w:val="24"/>
              </w:rPr>
            </w:pPr>
            <w:r w:rsidRPr="00190BF8">
              <w:rPr>
                <w:rFonts w:cs="Arial"/>
                <w:sz w:val="24"/>
                <w:szCs w:val="24"/>
              </w:rPr>
              <w:t xml:space="preserve">Cllr Varsha Parmar </w:t>
            </w:r>
            <w:r w:rsidR="00C257B5">
              <w:rPr>
                <w:rFonts w:cs="Arial"/>
                <w:sz w:val="24"/>
                <w:szCs w:val="24"/>
              </w:rPr>
              <w:t>–</w:t>
            </w:r>
            <w:r w:rsidRPr="00190BF8">
              <w:rPr>
                <w:rFonts w:cs="Arial"/>
                <w:sz w:val="24"/>
                <w:szCs w:val="24"/>
              </w:rPr>
              <w:t xml:space="preserve"> </w:t>
            </w:r>
            <w:r w:rsidRPr="00F80506">
              <w:rPr>
                <w:rFonts w:cs="Arial"/>
                <w:sz w:val="24"/>
                <w:szCs w:val="24"/>
              </w:rPr>
              <w:t>Environment</w:t>
            </w:r>
            <w:r w:rsidR="00C257B5" w:rsidRPr="00F80506">
              <w:rPr>
                <w:rFonts w:cs="Arial"/>
                <w:sz w:val="24"/>
                <w:szCs w:val="24"/>
              </w:rPr>
              <w:t xml:space="preserve"> </w:t>
            </w:r>
            <w:r w:rsidR="006B2AE2" w:rsidRPr="00F80506">
              <w:rPr>
                <w:rFonts w:cs="Arial"/>
                <w:sz w:val="24"/>
                <w:szCs w:val="24"/>
              </w:rPr>
              <w:t>and Climate Cha</w:t>
            </w:r>
            <w:r w:rsidR="00F80506" w:rsidRPr="00F80506">
              <w:rPr>
                <w:rFonts w:cs="Arial"/>
                <w:sz w:val="24"/>
                <w:szCs w:val="24"/>
              </w:rPr>
              <w:t>n</w:t>
            </w:r>
            <w:r w:rsidR="006B2AE2" w:rsidRPr="00F80506">
              <w:rPr>
                <w:rFonts w:cs="Arial"/>
                <w:sz w:val="24"/>
                <w:szCs w:val="24"/>
              </w:rPr>
              <w:t>ge</w:t>
            </w: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47D5EFD3" w14:textId="4DF4DF4C" w:rsidR="001C7E35" w:rsidRPr="00214849" w:rsidRDefault="001C7E35" w:rsidP="00214849">
            <w:pPr>
              <w:pStyle w:val="Infotext"/>
              <w:spacing w:before="120"/>
              <w:rPr>
                <w:rFonts w:cs="Arial"/>
                <w:sz w:val="24"/>
                <w:szCs w:val="24"/>
              </w:rPr>
            </w:pPr>
            <w:r w:rsidRPr="005E3A10">
              <w:rPr>
                <w:rFonts w:cs="Arial"/>
                <w:sz w:val="24"/>
                <w:szCs w:val="24"/>
              </w:rPr>
              <w:t>No</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0CBA1ED8" w:rsidR="00714BEE" w:rsidRPr="00214849" w:rsidRDefault="001C7E35" w:rsidP="00214849">
            <w:pPr>
              <w:pStyle w:val="Infotext"/>
              <w:spacing w:before="120"/>
              <w:rPr>
                <w:rFonts w:cs="Arial"/>
                <w:sz w:val="24"/>
                <w:szCs w:val="24"/>
              </w:rPr>
            </w:pPr>
            <w:r w:rsidRPr="005E3A10">
              <w:rPr>
                <w:rFonts w:cs="Arial"/>
                <w:sz w:val="24"/>
                <w:szCs w:val="24"/>
              </w:rPr>
              <w:t>Yes</w:t>
            </w:r>
          </w:p>
        </w:tc>
      </w:tr>
      <w:tr w:rsidR="001C7E35" w14:paraId="7E5497E1" w14:textId="77777777" w:rsidTr="005853C5">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vAlign w:val="center"/>
          </w:tcPr>
          <w:p w14:paraId="7A770E0D" w14:textId="418AB008" w:rsidR="00307F76" w:rsidRDefault="00297F72" w:rsidP="005853C5">
            <w:pPr>
              <w:rPr>
                <w:rFonts w:cs="Arial"/>
                <w:bCs/>
                <w:szCs w:val="24"/>
              </w:rPr>
            </w:pPr>
            <w:r>
              <w:rPr>
                <w:rFonts w:cs="Arial"/>
                <w:szCs w:val="24"/>
              </w:rPr>
              <w:t>All</w:t>
            </w:r>
          </w:p>
          <w:p w14:paraId="52E38AE7" w14:textId="1D204801" w:rsidR="002C7BCE" w:rsidRPr="002C7BCE" w:rsidRDefault="002C7BCE" w:rsidP="005853C5">
            <w:pPr>
              <w:rPr>
                <w:rFonts w:cs="Arial"/>
                <w:bCs/>
                <w:color w:val="FF0000"/>
                <w:szCs w:val="24"/>
              </w:rPr>
            </w:pPr>
          </w:p>
        </w:tc>
      </w:tr>
      <w:tr w:rsidR="001C7E35" w14:paraId="5F1445BF" w14:textId="77777777" w:rsidTr="005853C5">
        <w:tc>
          <w:tcPr>
            <w:tcW w:w="3456" w:type="dxa"/>
            <w:vAlign w:val="center"/>
          </w:tcPr>
          <w:p w14:paraId="0E539C63" w14:textId="77777777" w:rsidR="001C7E35" w:rsidRPr="00C13A5F" w:rsidRDefault="001C7E35" w:rsidP="005853C5">
            <w:pPr>
              <w:pStyle w:val="Infotext"/>
              <w:spacing w:after="240"/>
              <w:rPr>
                <w:rFonts w:ascii="Arial Black" w:hAnsi="Arial Black" w:cs="Arial"/>
              </w:rPr>
            </w:pPr>
            <w:r w:rsidRPr="00C13A5F">
              <w:rPr>
                <w:rFonts w:ascii="Arial Black" w:hAnsi="Arial Black" w:cs="Arial"/>
              </w:rPr>
              <w:t>Enclosures:</w:t>
            </w:r>
          </w:p>
        </w:tc>
        <w:tc>
          <w:tcPr>
            <w:tcW w:w="5054" w:type="dxa"/>
            <w:vAlign w:val="center"/>
          </w:tcPr>
          <w:p w14:paraId="6668D730" w14:textId="7CACDBF2" w:rsidR="001C7E35" w:rsidRPr="005E3A10" w:rsidRDefault="006E4C75" w:rsidP="005853C5">
            <w:pPr>
              <w:pStyle w:val="Infotext"/>
              <w:rPr>
                <w:color w:val="FF0000"/>
                <w:sz w:val="24"/>
                <w:szCs w:val="24"/>
              </w:rPr>
            </w:pPr>
            <w:r w:rsidRPr="006E4C75">
              <w:rPr>
                <w:sz w:val="24"/>
                <w:szCs w:val="24"/>
              </w:rPr>
              <w:t>None</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1117FA8F" w14:textId="77777777" w:rsidR="005E0F6F" w:rsidRPr="00146939" w:rsidRDefault="005E0F6F" w:rsidP="005E0F6F">
            <w:r w:rsidRPr="00146939">
              <w:t>This report seeks Cabinet approval to commence re-procurement of the Fuel Card Services Contrac</w:t>
            </w:r>
            <w:r>
              <w:t>t (including a web-based software to manage cards, track and monitor usage).</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48896EC7" w:rsidR="001C7E35" w:rsidRDefault="001C7E35" w:rsidP="00605A4C">
            <w:r>
              <w:t>Cabinet is requested to:</w:t>
            </w:r>
          </w:p>
          <w:p w14:paraId="4B00EEFB" w14:textId="09C7E65E" w:rsidR="005E0F6F" w:rsidRDefault="00D31A8A" w:rsidP="00271ABA">
            <w:pPr>
              <w:pStyle w:val="ListParagraph"/>
              <w:numPr>
                <w:ilvl w:val="0"/>
                <w:numId w:val="7"/>
              </w:numPr>
            </w:pPr>
            <w:r>
              <w:t>Grant approval to re-procure the contract for the provision of Fuel Card Services for a period of 5 years with the option to extend for a further 2 years</w:t>
            </w:r>
          </w:p>
          <w:p w14:paraId="41F11F79" w14:textId="4520C7CE" w:rsidR="006751F1" w:rsidRPr="00BB17EB" w:rsidRDefault="00B919E6" w:rsidP="00D31A8A">
            <w:pPr>
              <w:pStyle w:val="ListParagraph"/>
              <w:numPr>
                <w:ilvl w:val="0"/>
                <w:numId w:val="7"/>
              </w:numPr>
            </w:pPr>
            <w:r w:rsidRPr="008A02D5">
              <w:t>Deleg</w:t>
            </w:r>
            <w:r>
              <w:t xml:space="preserve">ate </w:t>
            </w:r>
            <w:r w:rsidRPr="008A02D5">
              <w:t xml:space="preserve">authority </w:t>
            </w:r>
            <w:r w:rsidR="003B7F30">
              <w:t xml:space="preserve">to the </w:t>
            </w:r>
            <w:r w:rsidR="005E0F6F">
              <w:t>Corporate Director for Community</w:t>
            </w:r>
            <w:r w:rsidR="00F509A1">
              <w:t>,</w:t>
            </w:r>
            <w:r w:rsidRPr="0098609C">
              <w:t xml:space="preserve"> </w:t>
            </w:r>
            <w:r w:rsidR="003B7F30">
              <w:t>f</w:t>
            </w:r>
            <w:r w:rsidR="00462305" w:rsidRPr="00BB17EB">
              <w:t xml:space="preserve">ollowing consultation with the </w:t>
            </w:r>
            <w:r w:rsidR="00C86702" w:rsidRPr="00BB17EB">
              <w:t xml:space="preserve">Director of Finance, </w:t>
            </w:r>
            <w:r w:rsidR="00462305" w:rsidRPr="0065471F">
              <w:t>Portfolio Holder</w:t>
            </w:r>
            <w:r w:rsidR="00D377C1" w:rsidRPr="00B3621C">
              <w:t xml:space="preserve"> </w:t>
            </w:r>
            <w:r w:rsidR="004D51C6" w:rsidRPr="008A02D5">
              <w:t>for</w:t>
            </w:r>
            <w:r w:rsidR="0023285C" w:rsidRPr="008A02D5">
              <w:t xml:space="preserve"> </w:t>
            </w:r>
            <w:r w:rsidR="00D377C1" w:rsidRPr="008A02D5">
              <w:t>Environment</w:t>
            </w:r>
            <w:r w:rsidR="0023285C" w:rsidRPr="0098609C">
              <w:t xml:space="preserve"> and Climate Cha</w:t>
            </w:r>
            <w:r w:rsidR="008F40FA">
              <w:t>n</w:t>
            </w:r>
            <w:r w:rsidR="0023285C" w:rsidRPr="0098609C">
              <w:t>ge</w:t>
            </w:r>
            <w:r w:rsidR="00C86702" w:rsidRPr="0098609C">
              <w:t xml:space="preserve"> and the Portfolio Holder for Finance and Resources</w:t>
            </w:r>
            <w:r w:rsidR="00A37973">
              <w:t>,</w:t>
            </w:r>
            <w:r w:rsidR="00777792">
              <w:t xml:space="preserve"> </w:t>
            </w:r>
            <w:r w:rsidR="00D81CF4">
              <w:t xml:space="preserve">to </w:t>
            </w:r>
            <w:r w:rsidR="005E0F6F">
              <w:t>finalise the procurement and award of the contract(s) and operationally by the Interim Divisional Director for Environmental Services</w:t>
            </w:r>
          </w:p>
          <w:p w14:paraId="130A1D51" w14:textId="77777777" w:rsidR="00591016" w:rsidRDefault="00591016" w:rsidP="00605A4C"/>
          <w:p w14:paraId="7766DD33" w14:textId="472BF5CB" w:rsidR="00462305" w:rsidRDefault="00E13BEF" w:rsidP="00E13BEF">
            <w:pPr>
              <w:pStyle w:val="Heading3"/>
              <w:ind w:left="0" w:firstLine="0"/>
              <w:jc w:val="left"/>
            </w:pPr>
            <w:r>
              <w:t>Reason: (f</w:t>
            </w:r>
            <w:r w:rsidR="001C7E35" w:rsidRPr="00605A4C">
              <w:t>or recommendation</w:t>
            </w:r>
            <w:r w:rsidR="00714BEE" w:rsidRPr="00605A4C">
              <w:t>s</w:t>
            </w:r>
            <w:r w:rsidR="001C7E35" w:rsidRPr="00605A4C">
              <w:t>)</w:t>
            </w:r>
          </w:p>
          <w:p w14:paraId="55733863" w14:textId="5CF8D348" w:rsidR="006C3968" w:rsidRPr="006C3968" w:rsidRDefault="009E3DF5" w:rsidP="009E3DF5">
            <w:r w:rsidRPr="00243573">
              <w:t xml:space="preserve">To provide an efficient and compliant route for the award of a Fuel Card Services </w:t>
            </w:r>
            <w:r>
              <w:t>C</w:t>
            </w:r>
            <w:r w:rsidRPr="00243573">
              <w:t xml:space="preserve">ontract to </w:t>
            </w:r>
            <w:r w:rsidRPr="00146939">
              <w:t xml:space="preserve">support </w:t>
            </w:r>
            <w:r>
              <w:t xml:space="preserve">the operation of </w:t>
            </w:r>
            <w:r w:rsidRPr="00146939">
              <w:t xml:space="preserve">essential </w:t>
            </w:r>
            <w:r>
              <w:t xml:space="preserve">‘in house’ </w:t>
            </w:r>
            <w:r w:rsidR="00F51B77">
              <w:t>f</w:t>
            </w:r>
            <w:r>
              <w:t>ront</w:t>
            </w:r>
            <w:r w:rsidR="00F51B77">
              <w:t>l</w:t>
            </w:r>
            <w:r>
              <w:t>ine</w:t>
            </w:r>
            <w:r w:rsidRPr="00146939">
              <w:t xml:space="preserve"> </w:t>
            </w:r>
            <w:r w:rsidR="00F51B77">
              <w:t>s</w:t>
            </w:r>
            <w:r w:rsidRPr="00146939">
              <w:t>ervices</w:t>
            </w:r>
          </w:p>
          <w:p w14:paraId="313BC81E" w14:textId="77777777" w:rsidR="00333FAA" w:rsidRDefault="00333FAA" w:rsidP="0042797C">
            <w:pPr>
              <w:pStyle w:val="Heading3"/>
              <w:ind w:left="0" w:firstLine="0"/>
              <w:jc w:val="left"/>
            </w:pPr>
          </w:p>
        </w:tc>
      </w:tr>
    </w:tbl>
    <w:p w14:paraId="0204F38A" w14:textId="77777777" w:rsidR="00333FAA" w:rsidRDefault="00333FAA" w:rsidP="00BB194C">
      <w:pPr>
        <w:pStyle w:val="Heading2"/>
        <w:spacing w:before="240" w:after="240"/>
      </w:pPr>
      <w:r>
        <w:t>Section 2 – Report</w:t>
      </w:r>
    </w:p>
    <w:p w14:paraId="0A078380" w14:textId="77777777" w:rsidR="00AD1E77" w:rsidRDefault="001C7E35" w:rsidP="00BB194C">
      <w:pPr>
        <w:pStyle w:val="Heading3"/>
        <w:spacing w:after="240"/>
        <w:ind w:left="0" w:firstLine="0"/>
        <w:jc w:val="left"/>
      </w:pPr>
      <w:r>
        <w:t xml:space="preserve">Options considered  </w:t>
      </w:r>
    </w:p>
    <w:p w14:paraId="647C80CE" w14:textId="77777777" w:rsidR="00BB194C" w:rsidRDefault="00BB194C" w:rsidP="00BB194C">
      <w:pPr>
        <w:pStyle w:val="ListParagraph"/>
        <w:numPr>
          <w:ilvl w:val="0"/>
          <w:numId w:val="15"/>
        </w:numPr>
        <w:spacing w:after="240"/>
      </w:pPr>
      <w:r w:rsidRPr="00BB194C">
        <w:rPr>
          <w:b/>
          <w:bCs/>
        </w:rPr>
        <w:t>Extend the current arrangement:</w:t>
      </w:r>
      <w:r>
        <w:t xml:space="preserve"> This option is not available.</w:t>
      </w:r>
    </w:p>
    <w:p w14:paraId="49FD5AF9" w14:textId="77777777" w:rsidR="00BB194C" w:rsidRDefault="00BB194C" w:rsidP="00BB194C">
      <w:pPr>
        <w:pStyle w:val="ListParagraph"/>
        <w:numPr>
          <w:ilvl w:val="0"/>
          <w:numId w:val="15"/>
        </w:numPr>
        <w:spacing w:after="240"/>
      </w:pPr>
      <w:r w:rsidRPr="00BB194C">
        <w:rPr>
          <w:b/>
          <w:bCs/>
        </w:rPr>
        <w:t>Procure a bulk fuel supply contract:</w:t>
      </w:r>
      <w:r>
        <w:t xml:space="preserve"> Currently there are no bulk fuel storage tanks located at the Harrow Central Depot or at other Council sites. Space at the Central Depot site is limited, and the cost of installation, management and maintenance would need to be paid for by the Authority. The price per litre paid to draw fuel using fuel cards is comparable to bulk fuel supply.  </w:t>
      </w:r>
    </w:p>
    <w:p w14:paraId="38893A2B" w14:textId="27EB4026" w:rsidR="00BB194C" w:rsidRDefault="00BB194C" w:rsidP="00BB194C">
      <w:pPr>
        <w:pStyle w:val="ListParagraph"/>
        <w:numPr>
          <w:ilvl w:val="0"/>
          <w:numId w:val="15"/>
        </w:numPr>
        <w:spacing w:after="240"/>
      </w:pPr>
      <w:bookmarkStart w:id="0" w:name="_Hlk71709339"/>
      <w:r w:rsidRPr="00BB194C">
        <w:rPr>
          <w:b/>
          <w:bCs/>
        </w:rPr>
        <w:t>Commence re-procurement of a contract for Fuel Card Services</w:t>
      </w:r>
      <w:bookmarkEnd w:id="0"/>
      <w:r w:rsidRPr="00BB194C">
        <w:rPr>
          <w:b/>
          <w:bCs/>
        </w:rPr>
        <w:t>:</w:t>
      </w:r>
      <w:r>
        <w:t xml:space="preserve"> Utilisation of fuel cards is the current means of drawing fuel for the essential Council Services. Fuel cards offer operational flexibility to staff and managers through the ability to draw fuel quickly whilst out on route (including out of Borough routes). Fuel Card Services Providers offer an efficient means of managing, monitoring and tracking fuel use across the services through a secure </w:t>
      </w:r>
      <w:r w:rsidR="00E36782">
        <w:t>web-based</w:t>
      </w:r>
      <w:r>
        <w:t xml:space="preserve"> portal which underpins management of the contract and is essential to the Fleet Management </w:t>
      </w:r>
      <w:r w:rsidR="00085094">
        <w:t>Services t</w:t>
      </w:r>
      <w:r>
        <w:t>eam.</w:t>
      </w:r>
    </w:p>
    <w:p w14:paraId="3900020A" w14:textId="218F5D91" w:rsidR="00BB194C" w:rsidRDefault="00BB194C" w:rsidP="00BB194C">
      <w:pPr>
        <w:spacing w:after="240"/>
      </w:pPr>
      <w:r>
        <w:t>The preferred option is to progress with option 3, to c</w:t>
      </w:r>
      <w:r w:rsidRPr="00410C78">
        <w:t>ommence re-procurement of a contract for Fuel Card Services</w:t>
      </w:r>
      <w:r>
        <w:t xml:space="preserve"> offering the following benefits:</w:t>
      </w:r>
    </w:p>
    <w:p w14:paraId="51969429" w14:textId="77777777" w:rsidR="00BB194C" w:rsidRDefault="00BB194C" w:rsidP="00BB194C">
      <w:pPr>
        <w:pStyle w:val="ListParagraph"/>
        <w:numPr>
          <w:ilvl w:val="0"/>
          <w:numId w:val="14"/>
        </w:numPr>
        <w:spacing w:after="240"/>
      </w:pPr>
      <w:r>
        <w:lastRenderedPageBreak/>
        <w:t>Offers a local and optimised source of supply through a locally and nationally available supply network</w:t>
      </w:r>
    </w:p>
    <w:p w14:paraId="6CCDCF19" w14:textId="77777777" w:rsidR="00BB194C" w:rsidRDefault="00BB194C" w:rsidP="00BB194C">
      <w:pPr>
        <w:pStyle w:val="ListParagraph"/>
        <w:numPr>
          <w:ilvl w:val="0"/>
          <w:numId w:val="14"/>
        </w:numPr>
        <w:spacing w:after="240"/>
      </w:pPr>
      <w:r>
        <w:t>A proportion of forecourts are operated by local franchisees and their use stimulates the local economy and generates local employment opportunities. Staff are likely to pick up refreshments at these locations further increasing forecourt sales turnover</w:t>
      </w:r>
    </w:p>
    <w:p w14:paraId="3D30E96C" w14:textId="77777777" w:rsidR="00BB194C" w:rsidRDefault="00BB194C" w:rsidP="00BB194C">
      <w:pPr>
        <w:pStyle w:val="ListParagraph"/>
        <w:numPr>
          <w:ilvl w:val="0"/>
          <w:numId w:val="14"/>
        </w:numPr>
        <w:spacing w:after="240"/>
      </w:pPr>
      <w:r>
        <w:t>A competitive tender exercise will deliver best available market prices</w:t>
      </w:r>
    </w:p>
    <w:p w14:paraId="154C7B99" w14:textId="77777777" w:rsidR="00BB194C" w:rsidRDefault="00BB194C" w:rsidP="00BB194C">
      <w:pPr>
        <w:pStyle w:val="ListParagraph"/>
        <w:numPr>
          <w:ilvl w:val="0"/>
          <w:numId w:val="14"/>
        </w:numPr>
        <w:spacing w:after="240"/>
      </w:pPr>
      <w:r>
        <w:t>A long-term contract to support front line services that runs in parallel to existing fleet life cycles and potential eventual replacement of fleet with electric and / or other decarbonised vehicles.</w:t>
      </w:r>
    </w:p>
    <w:p w14:paraId="49C903BD" w14:textId="551B59AF" w:rsidR="0057637F" w:rsidRPr="00BB194C" w:rsidRDefault="00BB194C" w:rsidP="00BB194C">
      <w:pPr>
        <w:pStyle w:val="ListParagraph"/>
        <w:numPr>
          <w:ilvl w:val="0"/>
          <w:numId w:val="14"/>
        </w:numPr>
        <w:spacing w:after="240"/>
      </w:pPr>
      <w:r>
        <w:t>Effective and efficient contract administration through fuel management software portal</w:t>
      </w:r>
    </w:p>
    <w:p w14:paraId="186DEA46" w14:textId="77777777" w:rsidR="006C3968" w:rsidRDefault="006C3968" w:rsidP="0054590F">
      <w:pPr>
        <w:pStyle w:val="Heading4"/>
        <w:rPr>
          <w:color w:val="0000FF"/>
          <w:szCs w:val="24"/>
        </w:rPr>
      </w:pPr>
    </w:p>
    <w:p w14:paraId="6AC7E7FC" w14:textId="77777777" w:rsidR="006C3968" w:rsidRPr="001062A7" w:rsidRDefault="006C3968" w:rsidP="00BF206B">
      <w:pPr>
        <w:pStyle w:val="ListParagraph"/>
        <w:numPr>
          <w:ilvl w:val="0"/>
          <w:numId w:val="3"/>
        </w:numPr>
        <w:spacing w:after="120" w:line="259" w:lineRule="auto"/>
        <w:rPr>
          <w:rFonts w:cs="Arial"/>
          <w:b/>
          <w:bCs/>
        </w:rPr>
      </w:pPr>
      <w:r>
        <w:rPr>
          <w:rFonts w:cs="Arial"/>
          <w:b/>
          <w:bCs/>
          <w:u w:val="single"/>
        </w:rPr>
        <w:t>BACKGROUND</w:t>
      </w:r>
    </w:p>
    <w:p w14:paraId="06F35809" w14:textId="3CE17A1A" w:rsidR="007F727F" w:rsidRPr="007F727F" w:rsidRDefault="007F727F" w:rsidP="007F727F">
      <w:pPr>
        <w:pStyle w:val="ListParagraph"/>
        <w:numPr>
          <w:ilvl w:val="1"/>
          <w:numId w:val="3"/>
        </w:numPr>
        <w:spacing w:after="120" w:line="259" w:lineRule="auto"/>
        <w:ind w:left="567" w:hanging="567"/>
        <w:rPr>
          <w:rFonts w:cs="Arial"/>
        </w:rPr>
      </w:pPr>
      <w:r w:rsidRPr="007F727F">
        <w:rPr>
          <w:rFonts w:cs="Arial"/>
        </w:rPr>
        <w:t xml:space="preserve">The Community Directorate Fleet Management </w:t>
      </w:r>
      <w:r w:rsidR="00085094">
        <w:rPr>
          <w:rFonts w:cs="Arial"/>
        </w:rPr>
        <w:t>Services t</w:t>
      </w:r>
      <w:r w:rsidRPr="007F727F">
        <w:rPr>
          <w:rFonts w:cs="Arial"/>
        </w:rPr>
        <w:t xml:space="preserve">eam functions as a centralised support resource for essential </w:t>
      </w:r>
      <w:r w:rsidR="00CC3A41" w:rsidRPr="007F727F">
        <w:rPr>
          <w:rFonts w:cs="Arial"/>
        </w:rPr>
        <w:t>Front-Line</w:t>
      </w:r>
      <w:r w:rsidRPr="007F727F">
        <w:rPr>
          <w:rFonts w:cs="Arial"/>
        </w:rPr>
        <w:t xml:space="preserve"> Services Operational Teams and are responsible for the day-to-day operational management of the Fuel Card Services Contract. Primary end users include Waste and Recycling, Special Needs Transport, Street Cleansing, Grounds Maintenance along with other important Services delivered Council wide. </w:t>
      </w:r>
    </w:p>
    <w:p w14:paraId="47E92985" w14:textId="2C879378" w:rsidR="007F727F" w:rsidRPr="007F727F" w:rsidRDefault="007F727F" w:rsidP="007F727F">
      <w:pPr>
        <w:pStyle w:val="ListParagraph"/>
        <w:numPr>
          <w:ilvl w:val="1"/>
          <w:numId w:val="3"/>
        </w:numPr>
        <w:spacing w:after="120" w:line="259" w:lineRule="auto"/>
        <w:ind w:left="567" w:hanging="567"/>
        <w:rPr>
          <w:rFonts w:cs="Arial"/>
        </w:rPr>
      </w:pPr>
      <w:r w:rsidRPr="007F727F">
        <w:rPr>
          <w:rFonts w:cs="Arial"/>
        </w:rPr>
        <w:t xml:space="preserve">The Services currently draw a combined total of around 850,000 litres of fuel per year by means of Fuel Cards which are managed, monitored and tracked by the Fleet Management </w:t>
      </w:r>
      <w:r w:rsidR="00085094">
        <w:rPr>
          <w:rFonts w:cs="Arial"/>
        </w:rPr>
        <w:t>Services t</w:t>
      </w:r>
      <w:r w:rsidRPr="007F727F">
        <w:rPr>
          <w:rFonts w:cs="Arial"/>
        </w:rPr>
        <w:t>eam through a secure web-based software portal.</w:t>
      </w:r>
    </w:p>
    <w:p w14:paraId="2CE24C96" w14:textId="049A025A" w:rsidR="006C3968" w:rsidRPr="007F727F" w:rsidRDefault="007F727F" w:rsidP="007F727F">
      <w:pPr>
        <w:pStyle w:val="ListParagraph"/>
        <w:numPr>
          <w:ilvl w:val="1"/>
          <w:numId w:val="3"/>
        </w:numPr>
        <w:spacing w:after="120" w:line="259" w:lineRule="auto"/>
        <w:ind w:left="567" w:hanging="567"/>
        <w:rPr>
          <w:rFonts w:cs="Arial"/>
        </w:rPr>
      </w:pPr>
      <w:r w:rsidRPr="007F727F">
        <w:rPr>
          <w:rFonts w:cs="Arial"/>
        </w:rPr>
        <w:t>The current contract will expire in 2022 and the proposed procurement exercise will deliver a contract in compliance with Public Procurement Regulations and an effective means of drawing fuel at best available market prices coupled with a local supply network across all applicable Council Services.</w:t>
      </w:r>
    </w:p>
    <w:p w14:paraId="00A0D343" w14:textId="77DC7116" w:rsidR="006C3968" w:rsidRPr="002C6C85" w:rsidRDefault="002C6C85" w:rsidP="00BF206B">
      <w:pPr>
        <w:pStyle w:val="ListParagraph"/>
        <w:numPr>
          <w:ilvl w:val="0"/>
          <w:numId w:val="3"/>
        </w:numPr>
        <w:spacing w:after="120" w:line="259" w:lineRule="auto"/>
        <w:rPr>
          <w:rFonts w:cs="Arial"/>
          <w:b/>
          <w:bCs/>
        </w:rPr>
      </w:pPr>
      <w:r>
        <w:rPr>
          <w:rFonts w:cs="Arial"/>
          <w:b/>
          <w:bCs/>
          <w:u w:val="single"/>
        </w:rPr>
        <w:t>CURRENT SITUATION</w:t>
      </w:r>
    </w:p>
    <w:p w14:paraId="5ECCFD43" w14:textId="77777777" w:rsidR="00300B43" w:rsidRPr="00300B43" w:rsidRDefault="00C60C54" w:rsidP="00300B43">
      <w:pPr>
        <w:pStyle w:val="ListParagraph"/>
        <w:numPr>
          <w:ilvl w:val="1"/>
          <w:numId w:val="3"/>
        </w:numPr>
        <w:spacing w:after="120" w:line="259" w:lineRule="auto"/>
        <w:ind w:left="567" w:hanging="567"/>
        <w:rPr>
          <w:rFonts w:cs="Arial"/>
          <w:b/>
          <w:bCs/>
        </w:rPr>
      </w:pPr>
      <w:r w:rsidRPr="00457965">
        <w:t xml:space="preserve">The current contract expires in 2022 and there are no options to extend. </w:t>
      </w:r>
      <w:r>
        <w:t>A new procurement exercise is required to ensure continuity of fuel supply to support essential frontline services operations.</w:t>
      </w:r>
    </w:p>
    <w:p w14:paraId="4F4BF696" w14:textId="0227CEAD" w:rsidR="000575C3" w:rsidRDefault="000575C3" w:rsidP="00084FF0">
      <w:pPr>
        <w:pStyle w:val="ListParagraph"/>
        <w:numPr>
          <w:ilvl w:val="0"/>
          <w:numId w:val="3"/>
        </w:numPr>
        <w:spacing w:after="120" w:line="259" w:lineRule="auto"/>
        <w:rPr>
          <w:rFonts w:cs="Arial"/>
          <w:b/>
          <w:bCs/>
          <w:u w:val="single"/>
        </w:rPr>
      </w:pPr>
      <w:r w:rsidRPr="000575C3">
        <w:rPr>
          <w:rFonts w:cs="Arial"/>
          <w:b/>
          <w:bCs/>
          <w:u w:val="single"/>
        </w:rPr>
        <w:t>IMPLICATIONS OF THE RECOMMENDATION</w:t>
      </w:r>
    </w:p>
    <w:p w14:paraId="4C307DE4" w14:textId="1F7CFD20" w:rsidR="000575C3" w:rsidRPr="000575C3" w:rsidRDefault="008A2E4B" w:rsidP="008A2E4B">
      <w:pPr>
        <w:pStyle w:val="ListParagraph"/>
        <w:numPr>
          <w:ilvl w:val="1"/>
          <w:numId w:val="3"/>
        </w:numPr>
        <w:spacing w:after="120" w:line="259" w:lineRule="auto"/>
        <w:ind w:left="567" w:hanging="567"/>
        <w:rPr>
          <w:rFonts w:cs="Arial"/>
          <w:b/>
          <w:bCs/>
          <w:u w:val="single"/>
        </w:rPr>
      </w:pPr>
      <w:r>
        <w:t>There will be no resourcing implications as the procurement exercise and contract will be delivered through existing resource</w:t>
      </w:r>
    </w:p>
    <w:p w14:paraId="1094F98B" w14:textId="057E09D5" w:rsidR="009E6829" w:rsidRPr="00084FF0" w:rsidRDefault="00C60C54" w:rsidP="00084FF0">
      <w:pPr>
        <w:pStyle w:val="ListParagraph"/>
        <w:numPr>
          <w:ilvl w:val="0"/>
          <w:numId w:val="3"/>
        </w:numPr>
        <w:spacing w:after="120" w:line="259" w:lineRule="auto"/>
        <w:rPr>
          <w:rFonts w:cs="Arial"/>
          <w:b/>
          <w:bCs/>
        </w:rPr>
      </w:pPr>
      <w:r w:rsidRPr="00084FF0">
        <w:rPr>
          <w:b/>
          <w:bCs/>
          <w:szCs w:val="24"/>
          <w:u w:val="single"/>
        </w:rPr>
        <w:t>W</w:t>
      </w:r>
      <w:r w:rsidR="009E6829" w:rsidRPr="00084FF0">
        <w:rPr>
          <w:b/>
          <w:bCs/>
          <w:szCs w:val="24"/>
          <w:u w:val="single"/>
        </w:rPr>
        <w:t>ARD COUNCILLORS’ COMMENTS</w:t>
      </w:r>
    </w:p>
    <w:p w14:paraId="49DB7C05" w14:textId="6DF6676A" w:rsidR="00BF206B" w:rsidRDefault="00F339F8" w:rsidP="008A2E4B">
      <w:pPr>
        <w:spacing w:before="240" w:after="240"/>
        <w:rPr>
          <w:b/>
          <w:bCs/>
          <w:szCs w:val="24"/>
          <w:u w:val="single"/>
        </w:rPr>
      </w:pPr>
      <w:r>
        <w:rPr>
          <w:rFonts w:cs="Arial"/>
          <w:bCs/>
          <w:szCs w:val="24"/>
        </w:rPr>
        <w:t xml:space="preserve">The project </w:t>
      </w:r>
      <w:r w:rsidR="004B444E">
        <w:rPr>
          <w:rFonts w:cs="Arial"/>
          <w:bCs/>
          <w:szCs w:val="24"/>
        </w:rPr>
        <w:t>h</w:t>
      </w:r>
      <w:r>
        <w:rPr>
          <w:rFonts w:cs="Arial"/>
          <w:bCs/>
          <w:szCs w:val="24"/>
        </w:rPr>
        <w:t>as the p</w:t>
      </w:r>
      <w:r w:rsidRPr="002C7BCE">
        <w:rPr>
          <w:rFonts w:cs="Arial"/>
          <w:bCs/>
          <w:szCs w:val="24"/>
        </w:rPr>
        <w:t xml:space="preserve">otential for all wards </w:t>
      </w:r>
      <w:r>
        <w:rPr>
          <w:rFonts w:cs="Arial"/>
          <w:bCs/>
          <w:szCs w:val="24"/>
        </w:rPr>
        <w:t>to be impacted, therefore this is not applicable.</w:t>
      </w:r>
      <w:r w:rsidR="00BF206B">
        <w:rPr>
          <w:b/>
          <w:bCs/>
          <w:szCs w:val="24"/>
          <w:u w:val="single"/>
        </w:rPr>
        <w:br w:type="page"/>
      </w:r>
    </w:p>
    <w:p w14:paraId="12B2B7E2" w14:textId="320AF5D8" w:rsidR="00333FAA" w:rsidRPr="00CC3A41" w:rsidRDefault="005E582C" w:rsidP="00BF206B">
      <w:pPr>
        <w:pStyle w:val="ListParagraph"/>
        <w:numPr>
          <w:ilvl w:val="0"/>
          <w:numId w:val="3"/>
        </w:numPr>
        <w:spacing w:after="120" w:line="259" w:lineRule="auto"/>
        <w:rPr>
          <w:rFonts w:cs="Arial"/>
          <w:b/>
          <w:bCs/>
          <w:u w:val="single"/>
        </w:rPr>
      </w:pPr>
      <w:r w:rsidRPr="005E582C">
        <w:rPr>
          <w:b/>
          <w:bCs/>
          <w:szCs w:val="24"/>
          <w:u w:val="single"/>
        </w:rPr>
        <w:lastRenderedPageBreak/>
        <w:t>ENVIRONMENTAL IMPLICATIONS</w:t>
      </w:r>
    </w:p>
    <w:p w14:paraId="6B710926" w14:textId="5C3C5E3D" w:rsidR="00CC3A41" w:rsidRDefault="00CC3A41" w:rsidP="00CC3A41">
      <w:pPr>
        <w:spacing w:line="256" w:lineRule="auto"/>
        <w:rPr>
          <w:rFonts w:cstheme="minorHAnsi"/>
        </w:rPr>
      </w:pPr>
      <w:r w:rsidRPr="005B7DD8">
        <w:rPr>
          <w:rFonts w:cstheme="minorHAnsi"/>
        </w:rPr>
        <w:t xml:space="preserve">The impact of CO2 emissions generated by traffic has a significant impact on climate change, </w:t>
      </w:r>
      <w:r w:rsidRPr="00B37B20">
        <w:rPr>
          <w:rFonts w:cstheme="minorHAnsi"/>
        </w:rPr>
        <w:t>health,</w:t>
      </w:r>
      <w:r w:rsidRPr="005B7DD8">
        <w:rPr>
          <w:rFonts w:cstheme="minorHAnsi"/>
        </w:rPr>
        <w:t xml:space="preserve"> and the economy. The council is therefore committed to increasing levels of sustainable travel in the borough to reduce emissions.</w:t>
      </w:r>
      <w:r w:rsidRPr="00B37B20">
        <w:rPr>
          <w:rFonts w:cstheme="minorHAnsi"/>
        </w:rPr>
        <w:t xml:space="preserve"> Harrow’s vision is that low emission vehicles represent an increased proportion of all vehicles being used in the borough.</w:t>
      </w:r>
      <w:r>
        <w:rPr>
          <w:rFonts w:cstheme="minorHAnsi"/>
        </w:rPr>
        <w:t xml:space="preserve"> </w:t>
      </w:r>
      <w:r w:rsidRPr="00B37B20">
        <w:rPr>
          <w:rFonts w:eastAsia="Calibri" w:cstheme="minorHAnsi"/>
        </w:rPr>
        <w:t xml:space="preserve">In 2018 </w:t>
      </w:r>
      <w:r>
        <w:rPr>
          <w:rFonts w:eastAsia="Calibri" w:cstheme="minorHAnsi"/>
        </w:rPr>
        <w:t>t</w:t>
      </w:r>
      <w:r w:rsidRPr="00B37B20">
        <w:rPr>
          <w:rFonts w:eastAsia="Calibri" w:cstheme="minorHAnsi"/>
        </w:rPr>
        <w:t xml:space="preserve">he council </w:t>
      </w:r>
      <w:r>
        <w:rPr>
          <w:rFonts w:eastAsia="Calibri" w:cstheme="minorHAnsi"/>
        </w:rPr>
        <w:t>agreed</w:t>
      </w:r>
      <w:r w:rsidRPr="00B37B20">
        <w:rPr>
          <w:rFonts w:eastAsia="Calibri" w:cstheme="minorHAnsi"/>
        </w:rPr>
        <w:t xml:space="preserve"> to invest</w:t>
      </w:r>
      <w:r>
        <w:rPr>
          <w:rFonts w:eastAsia="Calibri" w:cstheme="minorHAnsi"/>
        </w:rPr>
        <w:t xml:space="preserve"> </w:t>
      </w:r>
      <w:r w:rsidRPr="00B37B20">
        <w:rPr>
          <w:rFonts w:eastAsia="Calibri" w:cstheme="minorHAnsi"/>
        </w:rPr>
        <w:t xml:space="preserve">in </w:t>
      </w:r>
      <w:r w:rsidRPr="00B37B20">
        <w:rPr>
          <w:rFonts w:cstheme="minorHAnsi"/>
        </w:rPr>
        <w:t xml:space="preserve">a new vehicle </w:t>
      </w:r>
      <w:r>
        <w:rPr>
          <w:rFonts w:cstheme="minorHAnsi"/>
        </w:rPr>
        <w:t>f</w:t>
      </w:r>
      <w:r w:rsidRPr="00B37B20">
        <w:rPr>
          <w:rFonts w:cstheme="minorHAnsi"/>
        </w:rPr>
        <w:t xml:space="preserve">leet for 2019 that would further it’s commitment. </w:t>
      </w:r>
    </w:p>
    <w:p w14:paraId="12F8202E" w14:textId="77777777" w:rsidR="00CC3A41" w:rsidRDefault="00CC3A41" w:rsidP="00CC3A41">
      <w:pPr>
        <w:spacing w:line="256" w:lineRule="auto"/>
        <w:rPr>
          <w:rFonts w:cstheme="minorHAnsi"/>
        </w:rPr>
      </w:pPr>
    </w:p>
    <w:p w14:paraId="6A78EDA4" w14:textId="53F74C44" w:rsidR="00CC3A41" w:rsidRDefault="00CC3A41" w:rsidP="00CC3A41">
      <w:pPr>
        <w:spacing w:line="256" w:lineRule="auto"/>
        <w:rPr>
          <w:rFonts w:eastAsia="Calibri" w:cstheme="minorHAnsi"/>
        </w:rPr>
      </w:pPr>
      <w:r w:rsidRPr="00B37B20">
        <w:rPr>
          <w:rFonts w:eastAsia="Calibri" w:cstheme="minorHAnsi"/>
        </w:rPr>
        <w:t>The commitment involves an i</w:t>
      </w:r>
      <w:r w:rsidRPr="005B7DD8">
        <w:rPr>
          <w:rFonts w:eastAsia="Calibri" w:cstheme="minorHAnsi"/>
        </w:rPr>
        <w:t xml:space="preserve">ncrease in the number of electric vehicles in the </w:t>
      </w:r>
      <w:r w:rsidRPr="00B37B20">
        <w:rPr>
          <w:rFonts w:eastAsia="Calibri" w:cstheme="minorHAnsi"/>
        </w:rPr>
        <w:t>c</w:t>
      </w:r>
      <w:r w:rsidRPr="005B7DD8">
        <w:rPr>
          <w:rFonts w:eastAsia="Calibri" w:cstheme="minorHAnsi"/>
        </w:rPr>
        <w:t xml:space="preserve">ouncil’s fleet for use by pest control, housing, parking enforcement and libraries and introduction of electric charging facilities in Harrow’s new depot </w:t>
      </w:r>
      <w:r>
        <w:rPr>
          <w:rFonts w:eastAsia="Calibri" w:cstheme="minorHAnsi"/>
        </w:rPr>
        <w:t>, thus c</w:t>
      </w:r>
      <w:r w:rsidRPr="00DC3FB8">
        <w:rPr>
          <w:rFonts w:eastAsia="Calibri" w:cstheme="minorHAnsi"/>
        </w:rPr>
        <w:t xml:space="preserve">ontributing to </w:t>
      </w:r>
      <w:r>
        <w:rPr>
          <w:rFonts w:eastAsia="Calibri" w:cstheme="minorHAnsi"/>
        </w:rPr>
        <w:t xml:space="preserve">the </w:t>
      </w:r>
      <w:r w:rsidRPr="00DC3FB8">
        <w:rPr>
          <w:rFonts w:eastAsia="Calibri" w:cstheme="minorHAnsi"/>
        </w:rPr>
        <w:t xml:space="preserve">noise reduction and </w:t>
      </w:r>
      <w:r>
        <w:rPr>
          <w:rFonts w:eastAsia="Calibri" w:cstheme="minorHAnsi"/>
        </w:rPr>
        <w:t>c</w:t>
      </w:r>
      <w:r w:rsidRPr="00DC3FB8">
        <w:rPr>
          <w:rFonts w:eastAsia="Calibri" w:cstheme="minorHAnsi"/>
        </w:rPr>
        <w:t xml:space="preserve">lean air objectives of the council’s Sustainable </w:t>
      </w:r>
      <w:r>
        <w:rPr>
          <w:rFonts w:eastAsia="Calibri" w:cstheme="minorHAnsi"/>
        </w:rPr>
        <w:t>T</w:t>
      </w:r>
      <w:r w:rsidRPr="00DC3FB8">
        <w:rPr>
          <w:rFonts w:eastAsia="Calibri" w:cstheme="minorHAnsi"/>
        </w:rPr>
        <w:t xml:space="preserve">ransport </w:t>
      </w:r>
      <w:r>
        <w:rPr>
          <w:rFonts w:eastAsia="Calibri" w:cstheme="minorHAnsi"/>
        </w:rPr>
        <w:t>S</w:t>
      </w:r>
      <w:r w:rsidRPr="00DC3FB8">
        <w:rPr>
          <w:rFonts w:eastAsia="Calibri" w:cstheme="minorHAnsi"/>
        </w:rPr>
        <w:t>trategy</w:t>
      </w:r>
      <w:r>
        <w:rPr>
          <w:rFonts w:eastAsia="Calibri" w:cstheme="minorHAnsi"/>
        </w:rPr>
        <w:t>.</w:t>
      </w:r>
    </w:p>
    <w:p w14:paraId="5135B873" w14:textId="77777777" w:rsidR="00CC3A41" w:rsidRPr="00DC3FB8" w:rsidRDefault="00CC3A41" w:rsidP="00CC3A41">
      <w:pPr>
        <w:spacing w:line="256" w:lineRule="auto"/>
        <w:rPr>
          <w:rFonts w:eastAsia="Calibri" w:cstheme="minorHAnsi"/>
        </w:rPr>
      </w:pPr>
    </w:p>
    <w:p w14:paraId="3C4189B7" w14:textId="14F1F543" w:rsidR="00CC3A41" w:rsidRDefault="00CC3A41" w:rsidP="00CC3A41">
      <w:pPr>
        <w:spacing w:line="256" w:lineRule="auto"/>
        <w:rPr>
          <w:rFonts w:eastAsia="Calibri" w:cstheme="minorHAnsi"/>
        </w:rPr>
      </w:pPr>
      <w:r w:rsidRPr="005B7DD8">
        <w:rPr>
          <w:rFonts w:eastAsia="Calibri" w:cstheme="minorHAnsi"/>
        </w:rPr>
        <w:t xml:space="preserve">The Harrow Council vehicle depot is being redeveloped. Vehicles using the depot are refuse and recycling vehicles, school buses and pool cars. The new depot facilities will ensure that there up to 40% </w:t>
      </w:r>
      <w:r>
        <w:rPr>
          <w:rFonts w:eastAsia="Calibri" w:cstheme="minorHAnsi"/>
        </w:rPr>
        <w:t xml:space="preserve">more </w:t>
      </w:r>
      <w:r w:rsidRPr="005B7DD8">
        <w:rPr>
          <w:rFonts w:eastAsia="Calibri" w:cstheme="minorHAnsi"/>
        </w:rPr>
        <w:t>electric vehicle charging points for service vehicles.</w:t>
      </w:r>
      <w:r w:rsidRPr="00B37B20">
        <w:rPr>
          <w:rFonts w:eastAsia="Calibri" w:cstheme="minorHAnsi"/>
        </w:rPr>
        <w:t xml:space="preserve"> </w:t>
      </w:r>
      <w:r w:rsidRPr="005B7DD8">
        <w:rPr>
          <w:rFonts w:eastAsia="Calibri" w:cstheme="minorHAnsi"/>
        </w:rPr>
        <w:t>The new depot is scheduled to be complete by 202</w:t>
      </w:r>
      <w:r w:rsidRPr="00B37B20">
        <w:rPr>
          <w:rFonts w:eastAsia="Calibri" w:cstheme="minorHAnsi"/>
        </w:rPr>
        <w:t>2</w:t>
      </w:r>
      <w:r w:rsidRPr="005B7DD8">
        <w:rPr>
          <w:rFonts w:eastAsia="Calibri" w:cstheme="minorHAnsi"/>
        </w:rPr>
        <w:t>.</w:t>
      </w:r>
    </w:p>
    <w:p w14:paraId="215ACAE2" w14:textId="77777777" w:rsidR="00CC3A41" w:rsidRPr="00B37B20" w:rsidRDefault="00CC3A41" w:rsidP="00CC3A41">
      <w:pPr>
        <w:spacing w:line="256" w:lineRule="auto"/>
        <w:rPr>
          <w:rFonts w:eastAsia="Calibri" w:cstheme="minorHAnsi"/>
        </w:rPr>
      </w:pPr>
    </w:p>
    <w:p w14:paraId="394D02DA" w14:textId="3325F4C7" w:rsidR="00CC3A41" w:rsidRDefault="00CC3A41" w:rsidP="00CC3A41">
      <w:pPr>
        <w:rPr>
          <w:rFonts w:eastAsia="Calibri" w:cstheme="minorHAnsi"/>
        </w:rPr>
      </w:pPr>
      <w:r w:rsidRPr="00B37B20">
        <w:rPr>
          <w:rFonts w:cstheme="minorHAnsi"/>
        </w:rPr>
        <w:t>With larger electric vehicles not being readily available, it has only been realistic to introduce electric cars and vans in</w:t>
      </w:r>
      <w:r>
        <w:rPr>
          <w:rFonts w:cstheme="minorHAnsi"/>
        </w:rPr>
        <w:t>to</w:t>
      </w:r>
      <w:r w:rsidRPr="00B37B20">
        <w:rPr>
          <w:rFonts w:cstheme="minorHAnsi"/>
        </w:rPr>
        <w:t xml:space="preserve"> the Council’s fleet thus far. </w:t>
      </w:r>
      <w:r>
        <w:rPr>
          <w:rFonts w:cstheme="minorHAnsi"/>
        </w:rPr>
        <w:t xml:space="preserve">Consequently, </w:t>
      </w:r>
      <w:r w:rsidRPr="005B7DD8">
        <w:rPr>
          <w:rFonts w:eastAsia="Calibri" w:cstheme="minorHAnsi"/>
        </w:rPr>
        <w:t xml:space="preserve">Harrow Council </w:t>
      </w:r>
      <w:r w:rsidRPr="00B37B20">
        <w:rPr>
          <w:rFonts w:eastAsia="Calibri" w:cstheme="minorHAnsi"/>
        </w:rPr>
        <w:t>now</w:t>
      </w:r>
      <w:r w:rsidRPr="005B7DD8">
        <w:rPr>
          <w:rFonts w:eastAsia="Calibri" w:cstheme="minorHAnsi"/>
        </w:rPr>
        <w:t xml:space="preserve"> ha</w:t>
      </w:r>
      <w:r w:rsidRPr="00B37B20">
        <w:rPr>
          <w:rFonts w:eastAsia="Calibri" w:cstheme="minorHAnsi"/>
        </w:rPr>
        <w:t>s</w:t>
      </w:r>
      <w:r w:rsidRPr="005B7DD8">
        <w:rPr>
          <w:rFonts w:eastAsia="Calibri" w:cstheme="minorHAnsi"/>
        </w:rPr>
        <w:t xml:space="preserve"> a full fleet of Euro VI </w:t>
      </w:r>
      <w:r w:rsidRPr="00B37B20">
        <w:rPr>
          <w:rFonts w:eastAsia="Calibri" w:cstheme="minorHAnsi"/>
        </w:rPr>
        <w:t>diesel buses and refuse vehicles.</w:t>
      </w:r>
      <w:r w:rsidRPr="005B7DD8">
        <w:rPr>
          <w:rFonts w:eastAsia="Calibri" w:cstheme="minorHAnsi"/>
        </w:rPr>
        <w:t xml:space="preserve"> </w:t>
      </w:r>
      <w:r w:rsidRPr="00B37B20">
        <w:rPr>
          <w:rFonts w:eastAsia="Calibri" w:cstheme="minorHAnsi"/>
        </w:rPr>
        <w:t xml:space="preserve">These vehicles provide increased engine efficiency, better fuel economy, are more powerful than earlier engines, generate </w:t>
      </w:r>
      <w:r w:rsidRPr="00B37B20">
        <w:rPr>
          <w:rFonts w:cstheme="minorHAnsi"/>
          <w:color w:val="444444"/>
          <w:shd w:val="clear" w:color="auto" w:fill="FFFFFF"/>
        </w:rPr>
        <w:t xml:space="preserve">reduced levels of harmful emissions including nitrogen oxide (NOx), carbon monoxide and particulate matter - soot from diesel </w:t>
      </w:r>
      <w:r w:rsidRPr="00B37B20">
        <w:rPr>
          <w:rFonts w:eastAsia="Calibri" w:cstheme="minorHAnsi"/>
        </w:rPr>
        <w:t>and are compliant with London’s Ultra- Low Emission Zone.</w:t>
      </w:r>
    </w:p>
    <w:p w14:paraId="522C445E" w14:textId="77777777" w:rsidR="00CC3A41" w:rsidRPr="00B37B20" w:rsidRDefault="00CC3A41" w:rsidP="00CC3A41">
      <w:pPr>
        <w:rPr>
          <w:rFonts w:eastAsia="Calibri" w:cstheme="minorHAnsi"/>
        </w:rPr>
      </w:pPr>
    </w:p>
    <w:p w14:paraId="5A734913" w14:textId="2DDE2C6E" w:rsidR="00CC3A41" w:rsidRDefault="00CC3A41" w:rsidP="00CC3A41">
      <w:r>
        <w:rPr>
          <w:rFonts w:eastAsia="Calibri" w:cstheme="minorHAnsi"/>
        </w:rPr>
        <w:t xml:space="preserve">The council now has 17 fully electric vans. </w:t>
      </w:r>
      <w:r w:rsidRPr="005B7DD8">
        <w:rPr>
          <w:rFonts w:eastAsia="Calibri" w:cstheme="minorHAnsi"/>
        </w:rPr>
        <w:t>Tipper</w:t>
      </w:r>
      <w:r>
        <w:rPr>
          <w:rFonts w:eastAsia="Calibri" w:cstheme="minorHAnsi"/>
        </w:rPr>
        <w:t>s</w:t>
      </w:r>
      <w:r w:rsidRPr="005B7DD8">
        <w:rPr>
          <w:rFonts w:eastAsia="Calibri" w:cstheme="minorHAnsi"/>
        </w:rPr>
        <w:t xml:space="preserve"> and pool cars </w:t>
      </w:r>
      <w:r w:rsidRPr="008A002E">
        <w:rPr>
          <w:rFonts w:eastAsia="Calibri" w:cstheme="minorHAnsi"/>
        </w:rPr>
        <w:t>were</w:t>
      </w:r>
      <w:r w:rsidRPr="005B7DD8">
        <w:rPr>
          <w:rFonts w:eastAsia="Calibri" w:cstheme="minorHAnsi"/>
        </w:rPr>
        <w:t xml:space="preserve"> switch</w:t>
      </w:r>
      <w:r w:rsidRPr="008A002E">
        <w:rPr>
          <w:rFonts w:eastAsia="Calibri" w:cstheme="minorHAnsi"/>
        </w:rPr>
        <w:t>ed</w:t>
      </w:r>
      <w:r w:rsidRPr="005B7DD8">
        <w:rPr>
          <w:rFonts w:eastAsia="Calibri" w:cstheme="minorHAnsi"/>
        </w:rPr>
        <w:t xml:space="preserve"> to a combination of </w:t>
      </w:r>
      <w:r w:rsidRPr="008A002E">
        <w:rPr>
          <w:rFonts w:eastAsia="Calibri" w:cstheme="minorHAnsi"/>
        </w:rPr>
        <w:t>electric</w:t>
      </w:r>
      <w:r w:rsidRPr="005B7DD8">
        <w:rPr>
          <w:rFonts w:eastAsia="Calibri" w:cstheme="minorHAnsi"/>
        </w:rPr>
        <w:t>,</w:t>
      </w:r>
      <w:r w:rsidRPr="008A002E">
        <w:rPr>
          <w:rFonts w:eastAsia="Calibri" w:cstheme="minorHAnsi"/>
        </w:rPr>
        <w:t xml:space="preserve"> hybrid and Euro VI </w:t>
      </w:r>
      <w:r w:rsidRPr="005B7DD8">
        <w:rPr>
          <w:rFonts w:eastAsia="Calibri" w:cstheme="minorHAnsi"/>
        </w:rPr>
        <w:t>diesel</w:t>
      </w:r>
      <w:r>
        <w:rPr>
          <w:rFonts w:eastAsia="Calibri" w:cstheme="minorHAnsi"/>
        </w:rPr>
        <w:t xml:space="preserve"> vehicles</w:t>
      </w:r>
      <w:r w:rsidRPr="005B7DD8">
        <w:rPr>
          <w:rFonts w:eastAsia="Calibri" w:cstheme="minorHAnsi"/>
        </w:rPr>
        <w:t xml:space="preserve">. </w:t>
      </w:r>
      <w:r>
        <w:t>The fuel card extension will allow the council to continue to run their services with the non-electric vehicles. Officers are always looking to reduce the carbon footprint further when vehicles are out of life. It is anticipated that we will be able to replace fossil fuelled vehicles with a fully electric fleet by the time the current fleet needs replacing.</w:t>
      </w:r>
    </w:p>
    <w:p w14:paraId="63F7A0BC" w14:textId="77777777" w:rsidR="00CC3A41" w:rsidRDefault="00CC3A41" w:rsidP="00CC3A41"/>
    <w:p w14:paraId="34EFE2B8" w14:textId="2DA0142C" w:rsidR="00CC3A41" w:rsidRPr="00CC3A41" w:rsidRDefault="00CC3A41" w:rsidP="00CC3A41">
      <w:pPr>
        <w:spacing w:line="256" w:lineRule="auto"/>
        <w:rPr>
          <w:rFonts w:cs="Arial"/>
          <w:b/>
          <w:bCs/>
          <w:u w:val="single"/>
        </w:rPr>
      </w:pPr>
      <w:r>
        <w:t>In the meantime fuel cards allow the council to monitor the eco footprint of the council’s fleet, allowing it to readily identify less efficient vehicles and driver performance, enabling it to put in place relevant driver training or maintenance measures to help cut fuel usage.</w:t>
      </w:r>
    </w:p>
    <w:p w14:paraId="65EAA072" w14:textId="7D40C07D" w:rsidR="0017412F" w:rsidRPr="0042797C" w:rsidRDefault="0017412F" w:rsidP="0042797C">
      <w:pPr>
        <w:spacing w:after="240"/>
      </w:pPr>
    </w:p>
    <w:p w14:paraId="499B2436" w14:textId="7D4927FF" w:rsidR="003361DE" w:rsidRPr="00F14592" w:rsidRDefault="003361DE" w:rsidP="00BF206B">
      <w:pPr>
        <w:pStyle w:val="ListParagraph"/>
        <w:numPr>
          <w:ilvl w:val="0"/>
          <w:numId w:val="3"/>
        </w:numPr>
        <w:spacing w:after="120" w:line="259" w:lineRule="auto"/>
        <w:rPr>
          <w:rFonts w:cs="Arial"/>
          <w:b/>
          <w:bCs/>
          <w:u w:val="single"/>
        </w:rPr>
      </w:pPr>
      <w:r>
        <w:rPr>
          <w:b/>
          <w:bCs/>
          <w:szCs w:val="24"/>
          <w:u w:val="single"/>
        </w:rPr>
        <w:t>RISK MANAGEMENT IMPLICATIONS</w:t>
      </w:r>
    </w:p>
    <w:p w14:paraId="0B289C2F" w14:textId="67F7A2AA" w:rsidR="00C53F1A" w:rsidRPr="00105B8A" w:rsidRDefault="00C53F1A" w:rsidP="00105B8A">
      <w:pPr>
        <w:tabs>
          <w:tab w:val="left" w:pos="5610"/>
        </w:tabs>
        <w:ind w:right="81"/>
        <w:rPr>
          <w:color w:val="0000FF"/>
        </w:rPr>
      </w:pPr>
      <w:bookmarkStart w:id="1" w:name="_Hlk60923477"/>
      <w:bookmarkStart w:id="2" w:name="_Hlk60922991"/>
      <w:bookmarkStart w:id="3" w:name="_Hlk60923939"/>
      <w:r>
        <w:rPr>
          <w:rFonts w:cs="Arial"/>
          <w:szCs w:val="24"/>
          <w:lang w:val="en-US"/>
        </w:rPr>
        <w:t xml:space="preserve">Risks included on corporate or directorate risk register? </w:t>
      </w:r>
      <w:r>
        <w:rPr>
          <w:rFonts w:cs="Arial"/>
          <w:b/>
          <w:bCs/>
          <w:szCs w:val="24"/>
          <w:lang w:val="en-US"/>
        </w:rPr>
        <w:t>No</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299136FB"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sidR="00EC4774">
        <w:rPr>
          <w:rFonts w:cs="Arial"/>
          <w:b/>
          <w:bCs/>
          <w:szCs w:val="24"/>
          <w:lang w:val="en-US" w:eastAsia="en-GB"/>
        </w:rPr>
        <w:t>No</w:t>
      </w:r>
    </w:p>
    <w:p w14:paraId="72B374FF" w14:textId="77777777" w:rsidR="00C53F1A" w:rsidRDefault="00C53F1A" w:rsidP="00105B8A">
      <w:pPr>
        <w:tabs>
          <w:tab w:val="left" w:pos="5610"/>
        </w:tabs>
        <w:ind w:left="567" w:right="81" w:hanging="567"/>
      </w:pPr>
    </w:p>
    <w:p w14:paraId="2E054B04" w14:textId="707E17E7" w:rsidR="00C53F1A" w:rsidRDefault="00C53F1A" w:rsidP="00105B8A">
      <w:pPr>
        <w:tabs>
          <w:tab w:val="left" w:pos="5610"/>
        </w:tabs>
        <w:ind w:right="81"/>
      </w:pPr>
      <w:r>
        <w:lastRenderedPageBreak/>
        <w:t xml:space="preserve">The relevant risks contained in the register are attached/summarised below. </w:t>
      </w:r>
      <w:r w:rsidR="00EC4774">
        <w:rPr>
          <w:rFonts w:cs="Arial"/>
          <w:b/>
          <w:bCs/>
          <w:szCs w:val="24"/>
          <w:lang w:val="en-US" w:eastAsia="en-GB"/>
        </w:rPr>
        <w:t>N/A</w:t>
      </w:r>
    </w:p>
    <w:p w14:paraId="45AEB19F" w14:textId="77777777" w:rsidR="00105B8A" w:rsidRDefault="00105B8A" w:rsidP="00105B8A"/>
    <w:p w14:paraId="68B1512C" w14:textId="5CC8B17F" w:rsidR="00C53F1A" w:rsidRDefault="00C53F1A" w:rsidP="00105B8A">
      <w:r>
        <w:t xml:space="preserve">The following key risks should be </w:t>
      </w:r>
      <w:r w:rsidR="00523B2F">
        <w:t>considered</w:t>
      </w:r>
      <w:r>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263"/>
        <w:gridCol w:w="5245"/>
        <w:gridCol w:w="1127"/>
      </w:tblGrid>
      <w:tr w:rsidR="00380F87" w14:paraId="1404D484" w14:textId="77777777" w:rsidTr="005E582C">
        <w:trPr>
          <w:tblHeader/>
        </w:trPr>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bookmarkEnd w:id="1"/>
          <w:p w14:paraId="756F1795" w14:textId="77777777" w:rsidR="00380F87" w:rsidRDefault="00380F87" w:rsidP="00C6495A">
            <w:pPr>
              <w:spacing w:line="247" w:lineRule="auto"/>
              <w:ind w:right="141"/>
              <w:jc w:val="center"/>
              <w:rPr>
                <w:rFonts w:cs="Arial"/>
                <w:b/>
                <w:bCs/>
                <w:szCs w:val="24"/>
                <w:lang w:val="en-US" w:eastAsia="en-GB"/>
              </w:rPr>
            </w:pPr>
            <w:r>
              <w:rPr>
                <w:rFonts w:cs="Arial"/>
                <w:b/>
                <w:bCs/>
                <w:szCs w:val="24"/>
                <w:lang w:val="en-US" w:eastAsia="en-GB"/>
              </w:rPr>
              <w:t>Risk Description</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1E899FA" w14:textId="77777777" w:rsidR="00380F87" w:rsidRDefault="00380F87" w:rsidP="00C6495A">
            <w:pPr>
              <w:spacing w:line="247" w:lineRule="auto"/>
              <w:ind w:right="141"/>
              <w:jc w:val="center"/>
              <w:rPr>
                <w:rFonts w:cs="Arial"/>
                <w:b/>
                <w:bCs/>
                <w:szCs w:val="24"/>
                <w:lang w:val="en-US" w:eastAsia="en-GB"/>
              </w:rPr>
            </w:pPr>
            <w:r>
              <w:rPr>
                <w:rFonts w:cs="Arial"/>
                <w:b/>
                <w:bCs/>
                <w:szCs w:val="24"/>
                <w:lang w:val="en-US" w:eastAsia="en-GB"/>
              </w:rPr>
              <w:t>Mitigations</w:t>
            </w:r>
          </w:p>
        </w:tc>
        <w:tc>
          <w:tcPr>
            <w:tcW w:w="1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367E690" w14:textId="77777777" w:rsidR="00380F87" w:rsidRDefault="00380F87" w:rsidP="00C6495A">
            <w:pPr>
              <w:spacing w:line="247" w:lineRule="auto"/>
              <w:ind w:left="171" w:right="141"/>
              <w:jc w:val="center"/>
              <w:rPr>
                <w:rFonts w:cs="Arial"/>
                <w:b/>
                <w:bCs/>
                <w:szCs w:val="24"/>
                <w:lang w:val="en-US" w:eastAsia="en-GB"/>
              </w:rPr>
            </w:pPr>
            <w:r>
              <w:rPr>
                <w:rFonts w:cs="Arial"/>
                <w:b/>
                <w:bCs/>
                <w:szCs w:val="24"/>
                <w:lang w:val="en-US" w:eastAsia="en-GB"/>
              </w:rPr>
              <w:t>RAG Status</w:t>
            </w:r>
          </w:p>
        </w:tc>
      </w:tr>
      <w:tr w:rsidR="00A70269" w14:paraId="4B1F0661" w14:textId="77777777" w:rsidTr="00A70269">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35E3E811" w:rsidR="00A70269" w:rsidRDefault="00A70269" w:rsidP="00A70269">
            <w:pPr>
              <w:spacing w:line="247" w:lineRule="auto"/>
              <w:ind w:right="141"/>
              <w:rPr>
                <w:rFonts w:cs="Arial"/>
                <w:szCs w:val="24"/>
                <w:lang w:val="en-US" w:eastAsia="en-GB"/>
              </w:rPr>
            </w:pPr>
            <w:r>
              <w:t>Contract will have expired and there is no facility to draw fuel</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CD158" w14:textId="034AB6B6" w:rsidR="00A70269" w:rsidRPr="00A70269" w:rsidRDefault="00A70269" w:rsidP="00A70269">
            <w:pPr>
              <w:suppressAutoHyphens/>
              <w:autoSpaceDN w:val="0"/>
              <w:spacing w:line="247" w:lineRule="auto"/>
              <w:ind w:right="141"/>
              <w:rPr>
                <w:szCs w:val="24"/>
                <w:lang w:val="en-US"/>
              </w:rPr>
            </w:pPr>
            <w:r>
              <w:t xml:space="preserve">Ensuring the procurement is carried out in advance of contract expiry and through a compliant route </w:t>
            </w:r>
          </w:p>
        </w:tc>
        <w:tc>
          <w:tcPr>
            <w:tcW w:w="1127" w:type="dxa"/>
            <w:tcBorders>
              <w:top w:val="single" w:sz="4" w:space="0" w:color="000000"/>
              <w:left w:val="single" w:sz="4" w:space="0" w:color="000000"/>
              <w:bottom w:val="single" w:sz="4" w:space="0" w:color="000000"/>
              <w:right w:val="single" w:sz="4" w:space="0" w:color="000000"/>
            </w:tcBorders>
            <w:shd w:val="clear" w:color="auto" w:fill="92D050"/>
          </w:tcPr>
          <w:p w14:paraId="1BD16511" w14:textId="6450121F" w:rsidR="00A70269" w:rsidRDefault="00A70269" w:rsidP="00A70269">
            <w:pPr>
              <w:spacing w:line="247" w:lineRule="auto"/>
              <w:ind w:left="171" w:right="141"/>
              <w:jc w:val="center"/>
              <w:rPr>
                <w:rFonts w:cs="Arial"/>
                <w:szCs w:val="24"/>
                <w:lang w:val="en-US" w:eastAsia="en-GB"/>
              </w:rPr>
            </w:pPr>
            <w:r>
              <w:t>Green</w:t>
            </w:r>
          </w:p>
        </w:tc>
      </w:tr>
      <w:tr w:rsidR="00A70269" w14:paraId="0E3B1B50" w14:textId="77777777" w:rsidTr="00A70269">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7A822" w14:textId="6ED41D55" w:rsidR="00A70269" w:rsidRDefault="00A70269" w:rsidP="00A70269">
            <w:pPr>
              <w:spacing w:line="247" w:lineRule="auto"/>
              <w:ind w:right="141"/>
              <w:rPr>
                <w:rFonts w:cs="Arial"/>
                <w:szCs w:val="24"/>
                <w:lang w:val="en-US" w:eastAsia="en-GB"/>
              </w:rPr>
            </w:pPr>
            <w:r>
              <w:t>Non-compliant procurement process leading to l</w:t>
            </w:r>
            <w:r w:rsidRPr="00FE0DAA">
              <w:t>egal challenge by unsuccessful bidders</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9F578" w14:textId="5A763033" w:rsidR="00A70269" w:rsidRPr="00A70269" w:rsidRDefault="00A70269" w:rsidP="00A70269">
            <w:pPr>
              <w:suppressAutoHyphens/>
              <w:autoSpaceDN w:val="0"/>
              <w:spacing w:line="247" w:lineRule="auto"/>
              <w:ind w:right="141"/>
              <w:rPr>
                <w:szCs w:val="24"/>
                <w:lang w:val="en-US"/>
              </w:rPr>
            </w:pPr>
            <w:r>
              <w:t>Procurement fully engaged, with fully compliant tender process to reduce any risk of challenge of award outcomes</w:t>
            </w:r>
          </w:p>
        </w:tc>
        <w:tc>
          <w:tcPr>
            <w:tcW w:w="1127" w:type="dxa"/>
            <w:tcBorders>
              <w:top w:val="single" w:sz="4" w:space="0" w:color="000000"/>
              <w:left w:val="single" w:sz="4" w:space="0" w:color="000000"/>
              <w:bottom w:val="single" w:sz="4" w:space="0" w:color="000000"/>
              <w:right w:val="single" w:sz="4" w:space="0" w:color="000000"/>
            </w:tcBorders>
            <w:shd w:val="clear" w:color="auto" w:fill="92D050"/>
          </w:tcPr>
          <w:p w14:paraId="203AE39F" w14:textId="03240B25" w:rsidR="00A70269" w:rsidRDefault="00A70269" w:rsidP="00A70269">
            <w:pPr>
              <w:spacing w:line="247" w:lineRule="auto"/>
              <w:ind w:left="171" w:right="141"/>
              <w:jc w:val="center"/>
              <w:rPr>
                <w:rFonts w:cs="Arial"/>
                <w:szCs w:val="24"/>
                <w:lang w:val="en-US" w:eastAsia="en-GB"/>
              </w:rPr>
            </w:pPr>
            <w:r w:rsidRPr="008921AA">
              <w:t>Green</w:t>
            </w:r>
          </w:p>
        </w:tc>
      </w:tr>
      <w:tr w:rsidR="00A70269" w14:paraId="6274505A" w14:textId="77777777" w:rsidTr="00EA29D8">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4A2D7" w14:textId="18CC2C29" w:rsidR="00A70269" w:rsidRDefault="00A70269" w:rsidP="00A70269">
            <w:pPr>
              <w:spacing w:line="247" w:lineRule="auto"/>
              <w:ind w:right="141"/>
              <w:rPr>
                <w:rFonts w:cs="Arial"/>
                <w:szCs w:val="24"/>
                <w:lang w:val="en-US" w:eastAsia="en-GB"/>
              </w:rPr>
            </w:pPr>
            <w:r w:rsidRPr="00FE0DAA">
              <w:t>Value for money not achieved</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DFF6E" w14:textId="672A0688" w:rsidR="00A70269" w:rsidRPr="00A70269" w:rsidRDefault="00A70269" w:rsidP="00A70269">
            <w:r>
              <w:t>Tender will be designed to stimulate competition in the marketplace achieving best value</w:t>
            </w:r>
          </w:p>
        </w:tc>
        <w:tc>
          <w:tcPr>
            <w:tcW w:w="1127" w:type="dxa"/>
            <w:tcBorders>
              <w:top w:val="single" w:sz="4" w:space="0" w:color="000000"/>
              <w:left w:val="single" w:sz="4" w:space="0" w:color="000000"/>
              <w:bottom w:val="single" w:sz="4" w:space="0" w:color="000000"/>
              <w:right w:val="single" w:sz="4" w:space="0" w:color="000000"/>
            </w:tcBorders>
            <w:shd w:val="clear" w:color="auto" w:fill="92D050"/>
          </w:tcPr>
          <w:p w14:paraId="203D15A6" w14:textId="65074181" w:rsidR="00A70269" w:rsidRDefault="00A70269" w:rsidP="00A70269">
            <w:pPr>
              <w:spacing w:line="247" w:lineRule="auto"/>
              <w:ind w:right="141"/>
              <w:jc w:val="center"/>
              <w:rPr>
                <w:rFonts w:cs="Arial"/>
                <w:szCs w:val="24"/>
                <w:lang w:val="en-US" w:eastAsia="en-GB"/>
              </w:rPr>
            </w:pPr>
            <w:r w:rsidRPr="008921AA">
              <w:t>Green</w:t>
            </w:r>
          </w:p>
        </w:tc>
      </w:tr>
      <w:tr w:rsidR="00A70269" w14:paraId="77B90D52" w14:textId="77777777" w:rsidTr="00EA29D8">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01CDE" w14:textId="6268E267" w:rsidR="00A70269" w:rsidRDefault="00A70269" w:rsidP="00A70269">
            <w:pPr>
              <w:spacing w:line="247" w:lineRule="auto"/>
              <w:ind w:right="141"/>
              <w:rPr>
                <w:rFonts w:cs="Arial"/>
                <w:szCs w:val="24"/>
                <w:lang w:val="en-US" w:eastAsia="en-GB"/>
              </w:rPr>
            </w:pPr>
            <w:r>
              <w:t>Insufficient interest in the procurement process</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0574E" w14:textId="6CC282E0" w:rsidR="00A70269" w:rsidRPr="00A70269" w:rsidRDefault="00A70269" w:rsidP="00A70269">
            <w:pPr>
              <w:suppressAutoHyphens/>
              <w:autoSpaceDN w:val="0"/>
              <w:spacing w:line="247" w:lineRule="auto"/>
              <w:ind w:right="141"/>
              <w:rPr>
                <w:szCs w:val="24"/>
                <w:lang w:val="en-US"/>
              </w:rPr>
            </w:pPr>
            <w:r>
              <w:t xml:space="preserve">Tender will be advertised and designed to stimulate market interest and bids whilst achieving the aims and objectives of the Authority </w:t>
            </w:r>
          </w:p>
        </w:tc>
        <w:tc>
          <w:tcPr>
            <w:tcW w:w="1127" w:type="dxa"/>
            <w:tcBorders>
              <w:top w:val="single" w:sz="4" w:space="0" w:color="000000"/>
              <w:left w:val="single" w:sz="4" w:space="0" w:color="000000"/>
              <w:bottom w:val="single" w:sz="4" w:space="0" w:color="000000"/>
              <w:right w:val="single" w:sz="4" w:space="0" w:color="000000"/>
            </w:tcBorders>
            <w:shd w:val="clear" w:color="auto" w:fill="92D050"/>
          </w:tcPr>
          <w:p w14:paraId="4501F8F8" w14:textId="7D23B612" w:rsidR="00A70269" w:rsidRDefault="00A70269" w:rsidP="00A70269">
            <w:pPr>
              <w:spacing w:line="247" w:lineRule="auto"/>
              <w:ind w:right="141"/>
              <w:jc w:val="center"/>
              <w:rPr>
                <w:rFonts w:cs="Arial"/>
                <w:szCs w:val="24"/>
                <w:lang w:val="en-US" w:eastAsia="en-GB"/>
              </w:rPr>
            </w:pPr>
            <w:r w:rsidRPr="008921AA">
              <w:t>Green</w:t>
            </w:r>
          </w:p>
        </w:tc>
      </w:tr>
    </w:tbl>
    <w:p w14:paraId="4EA1AE38" w14:textId="77777777" w:rsidR="00105B8A" w:rsidRDefault="00105B8A"/>
    <w:bookmarkEnd w:id="2"/>
    <w:bookmarkEnd w:id="3"/>
    <w:p w14:paraId="0249BBDB" w14:textId="13B2DCB4" w:rsidR="002A3FEF" w:rsidRPr="005E582C" w:rsidRDefault="005E582C" w:rsidP="00BF206B">
      <w:pPr>
        <w:pStyle w:val="ListParagraph"/>
        <w:numPr>
          <w:ilvl w:val="0"/>
          <w:numId w:val="3"/>
        </w:numPr>
        <w:spacing w:after="120" w:line="259" w:lineRule="auto"/>
        <w:rPr>
          <w:rFonts w:cs="Arial"/>
          <w:b/>
          <w:bCs/>
          <w:u w:val="single"/>
        </w:rPr>
      </w:pPr>
      <w:r w:rsidRPr="005E582C">
        <w:rPr>
          <w:b/>
          <w:bCs/>
          <w:u w:val="single"/>
        </w:rPr>
        <w:t>PROCUREMENT IMPLICATIONS</w:t>
      </w:r>
    </w:p>
    <w:p w14:paraId="55932D36" w14:textId="58659CC6" w:rsidR="00105B86" w:rsidRDefault="00105B86" w:rsidP="00105B86">
      <w:pPr>
        <w:spacing w:after="240"/>
      </w:pPr>
      <w:r>
        <w:t>A</w:t>
      </w:r>
      <w:r w:rsidRPr="00C830E9">
        <w:t xml:space="preserve">s part of tender development, </w:t>
      </w:r>
      <w:r>
        <w:t>i</w:t>
      </w:r>
      <w:r w:rsidRPr="00C830E9">
        <w:t>t is proposed to complete an options appraisal to determine the optimal procurement route with bidders</w:t>
      </w:r>
      <w:r>
        <w:t>. This will include a soft market test exercise and development of a tender specification in conjunction with the Fleet and Transport Management Team and end user Services.</w:t>
      </w:r>
    </w:p>
    <w:p w14:paraId="0A3A600A" w14:textId="77777777" w:rsidR="00105B86" w:rsidRPr="00C830E9" w:rsidRDefault="00105B86" w:rsidP="00105B86">
      <w:pPr>
        <w:spacing w:after="240"/>
      </w:pPr>
      <w:r>
        <w:t xml:space="preserve">Bidders will be </w:t>
      </w:r>
      <w:r w:rsidRPr="00C830E9">
        <w:t xml:space="preserve">required to provide technical and commercial submissions, with all Tenders being evaluated for both their technical and commercial suitability in relation to the Authority’s Requirements. </w:t>
      </w:r>
    </w:p>
    <w:p w14:paraId="4C13843F" w14:textId="510D9FF8" w:rsidR="00105B86" w:rsidRDefault="00105B86" w:rsidP="00105B86">
      <w:pPr>
        <w:spacing w:after="240"/>
      </w:pPr>
      <w:r>
        <w:t>The main options to consider are:</w:t>
      </w:r>
    </w:p>
    <w:p w14:paraId="63F5555B" w14:textId="77777777" w:rsidR="00105B86" w:rsidRDefault="00105B86" w:rsidP="00105B86">
      <w:pPr>
        <w:pStyle w:val="Default"/>
        <w:numPr>
          <w:ilvl w:val="0"/>
          <w:numId w:val="17"/>
        </w:numPr>
        <w:rPr>
          <w:color w:val="auto"/>
        </w:rPr>
      </w:pPr>
      <w:r>
        <w:rPr>
          <w:color w:val="auto"/>
        </w:rPr>
        <w:t>Utilisation of a compliant framework to tender and award contract</w:t>
      </w:r>
    </w:p>
    <w:p w14:paraId="55D87E44" w14:textId="77777777" w:rsidR="00105B86" w:rsidRDefault="00105B86" w:rsidP="00105B86">
      <w:pPr>
        <w:pStyle w:val="Default"/>
        <w:numPr>
          <w:ilvl w:val="0"/>
          <w:numId w:val="17"/>
        </w:numPr>
        <w:rPr>
          <w:color w:val="auto"/>
        </w:rPr>
      </w:pPr>
      <w:r>
        <w:rPr>
          <w:color w:val="auto"/>
        </w:rPr>
        <w:t>Open tender</w:t>
      </w:r>
    </w:p>
    <w:p w14:paraId="6D70DA5B" w14:textId="77777777" w:rsidR="00105B86" w:rsidRDefault="00105B86" w:rsidP="00105B86">
      <w:pPr>
        <w:pStyle w:val="Default"/>
        <w:ind w:left="709" w:hanging="709"/>
        <w:rPr>
          <w:color w:val="auto"/>
        </w:rPr>
      </w:pPr>
    </w:p>
    <w:p w14:paraId="41A2631C" w14:textId="4652E970" w:rsidR="00105B86" w:rsidRPr="00C830E9" w:rsidRDefault="00105B86" w:rsidP="00105B86">
      <w:pPr>
        <w:spacing w:after="240"/>
      </w:pPr>
      <w:r w:rsidRPr="009A2314">
        <w:t xml:space="preserve">The evaluation methodology </w:t>
      </w:r>
      <w:r>
        <w:t xml:space="preserve">will be determined during the pre-tender stage in which the tender documents, quality questions and weightings will be drafted and agreed upon by the procurement team and service area. </w:t>
      </w:r>
    </w:p>
    <w:p w14:paraId="2DBB7038" w14:textId="4D441704" w:rsidR="00575AF0" w:rsidRDefault="00105B86" w:rsidP="00105B86">
      <w:pPr>
        <w:spacing w:after="240"/>
      </w:pPr>
      <w:r>
        <w:t>Any procurement arising from this report will be advised on and supported by the procurement team and will be conducted in compliance with the Public Contract Regulations [as amended] and the Contract Procedure Rules.</w:t>
      </w:r>
    </w:p>
    <w:p w14:paraId="4833C12E" w14:textId="77777777" w:rsidR="00D90757" w:rsidRDefault="00D90757" w:rsidP="00105B86">
      <w:pPr>
        <w:spacing w:after="240"/>
      </w:pPr>
    </w:p>
    <w:p w14:paraId="44413A6E" w14:textId="0B07ECE1" w:rsidR="00333FAA" w:rsidRPr="00674987" w:rsidRDefault="005E582C" w:rsidP="00BF206B">
      <w:pPr>
        <w:pStyle w:val="ListParagraph"/>
        <w:numPr>
          <w:ilvl w:val="0"/>
          <w:numId w:val="3"/>
        </w:numPr>
        <w:spacing w:after="120" w:line="259" w:lineRule="auto"/>
        <w:rPr>
          <w:rFonts w:cs="Arial"/>
          <w:b/>
          <w:bCs/>
          <w:u w:val="single"/>
        </w:rPr>
      </w:pPr>
      <w:r w:rsidRPr="005E582C">
        <w:rPr>
          <w:b/>
          <w:bCs/>
          <w:u w:val="single"/>
        </w:rPr>
        <w:lastRenderedPageBreak/>
        <w:t>LEGAL IMPLICATIONS</w:t>
      </w:r>
    </w:p>
    <w:p w14:paraId="015BB41D" w14:textId="57770A6A" w:rsidR="00EE6BEA" w:rsidRDefault="00EE6BEA" w:rsidP="00EE6BEA">
      <w:pPr>
        <w:spacing w:after="240"/>
      </w:pPr>
      <w:r>
        <w:t>The proposed value of this procurement is above the relevant threshold found in the Public Contracts Regulations 2015 (“PCR”) and a full, compliant procurement process must be undertaken with the rules found in the PCR.</w:t>
      </w:r>
    </w:p>
    <w:p w14:paraId="0A6F034F" w14:textId="533C2B14" w:rsidR="00EE6BEA" w:rsidRDefault="00EE6BEA" w:rsidP="00EE6BEA">
      <w:pPr>
        <w:spacing w:after="240"/>
      </w:pPr>
      <w:r>
        <w:t>The internal Contract Procedure Rules must also be complied with in full and a procurement at this value requires the Directorate Portfolio Holder and the Portfolio Holder with responsibility for finance and major contracts to be consulted at the planning stage.</w:t>
      </w:r>
    </w:p>
    <w:p w14:paraId="799DDB3E" w14:textId="1FF5A0DB" w:rsidR="00EE6BEA" w:rsidRDefault="00EE6BEA" w:rsidP="00EE6BEA">
      <w:pPr>
        <w:spacing w:after="240"/>
      </w:pPr>
      <w:r>
        <w:t xml:space="preserve">Approval to procure should be obtained by completing a submitting a Cabinet Report for approval and seeking clearance from the Directorate Procurement Board prior to any tender activity commencing. </w:t>
      </w:r>
    </w:p>
    <w:p w14:paraId="12F554B8" w14:textId="22887AEB" w:rsidR="00EE6BEA" w:rsidRPr="001D5E5A" w:rsidRDefault="00EE6BEA" w:rsidP="00EE6BEA">
      <w:pPr>
        <w:spacing w:after="240"/>
      </w:pPr>
      <w:r>
        <w:t>The council high value terms and conditions for services should be used as the terms for the contract.</w:t>
      </w:r>
    </w:p>
    <w:p w14:paraId="07239CE9" w14:textId="68BFE1D8" w:rsidR="00670A05" w:rsidRDefault="00EE6BEA" w:rsidP="00EE6BEA">
      <w:pPr>
        <w:spacing w:after="240"/>
      </w:pPr>
      <w:r w:rsidRPr="00421A4C">
        <w:t>Set out detailed legal implications of the proposed decision.  Where appropriate, liaise with the relevant legal officer and ensure that their clearances are obtained.</w:t>
      </w:r>
    </w:p>
    <w:p w14:paraId="2DEC6E4D" w14:textId="20FC5577" w:rsidR="00F80506" w:rsidRPr="00F80506" w:rsidRDefault="00F80506" w:rsidP="00F80506">
      <w:pPr>
        <w:pStyle w:val="ListParagraph"/>
        <w:numPr>
          <w:ilvl w:val="0"/>
          <w:numId w:val="3"/>
        </w:numPr>
        <w:spacing w:after="120" w:line="259" w:lineRule="auto"/>
        <w:rPr>
          <w:rFonts w:cs="Arial"/>
          <w:b/>
          <w:bCs/>
          <w:u w:val="single"/>
        </w:rPr>
      </w:pPr>
      <w:r>
        <w:rPr>
          <w:b/>
          <w:bCs/>
          <w:u w:val="single"/>
        </w:rPr>
        <w:t>FINANCIAL</w:t>
      </w:r>
      <w:r w:rsidRPr="005E582C">
        <w:rPr>
          <w:b/>
          <w:bCs/>
          <w:u w:val="single"/>
        </w:rPr>
        <w:t xml:space="preserve"> IMPLICATIONS</w:t>
      </w:r>
    </w:p>
    <w:p w14:paraId="7410AF98" w14:textId="516C6D0A" w:rsidR="00C7480E" w:rsidRPr="001D5E5A" w:rsidRDefault="00C7480E" w:rsidP="00C7480E">
      <w:pPr>
        <w:spacing w:after="240"/>
      </w:pPr>
      <w:r w:rsidRPr="001D5E5A">
        <w:t xml:space="preserve">There is a total budget of £704k for fuel expenditure including supplier margin as described in Section 1. In 2019/20, the actual expenditure was £925k on SAP. This sum included £205k for vehicles used to deliver Brent SNT service, which was recovered in full </w:t>
      </w:r>
      <w:r>
        <w:t>via</w:t>
      </w:r>
      <w:r w:rsidRPr="001D5E5A">
        <w:t xml:space="preserve"> Brent by quarterly invoices. Therefore, the net spend for Harrow was £720k.</w:t>
      </w:r>
    </w:p>
    <w:p w14:paraId="382EECA2" w14:textId="3F2D510E" w:rsidR="002D6B63" w:rsidRDefault="00C7480E" w:rsidP="00C7480E">
      <w:pPr>
        <w:autoSpaceDE w:val="0"/>
        <w:autoSpaceDN w:val="0"/>
        <w:adjustRightInd w:val="0"/>
        <w:spacing w:after="240"/>
      </w:pPr>
      <w:r w:rsidRPr="001D5E5A">
        <w:t>Fuel spend will depend on actual consumption and the commodity price, and therefore the actual costs can fluctuate. Given the size of the current fleet and some vehicles are now electric since the last replacement, it is anticipated that the overall fuel costs can be contained within the budget provision.</w:t>
      </w:r>
      <w:r w:rsidR="005B074E">
        <w:t xml:space="preserve"> </w:t>
      </w:r>
    </w:p>
    <w:p w14:paraId="41D80CF8" w14:textId="30D0D54D" w:rsidR="00333FAA" w:rsidRPr="00F80506" w:rsidRDefault="005E582C" w:rsidP="00F80506">
      <w:pPr>
        <w:pStyle w:val="ListParagraph"/>
        <w:numPr>
          <w:ilvl w:val="0"/>
          <w:numId w:val="3"/>
        </w:numPr>
        <w:spacing w:after="120" w:line="259" w:lineRule="auto"/>
        <w:rPr>
          <w:rFonts w:cs="Arial"/>
          <w:b/>
          <w:bCs/>
          <w:u w:val="single"/>
        </w:rPr>
      </w:pPr>
      <w:r w:rsidRPr="00F80506">
        <w:rPr>
          <w:b/>
          <w:bCs/>
          <w:u w:val="single"/>
        </w:rPr>
        <w:t>EQUALITIES IMPLICATIONS / PUBLIC SECTOR EQUALITY DUTY</w:t>
      </w:r>
    </w:p>
    <w:p w14:paraId="71F71D24" w14:textId="4E36DE65" w:rsidR="00A320CF" w:rsidRPr="00A9097C" w:rsidRDefault="00A9097C" w:rsidP="00A9097C">
      <w:pPr>
        <w:autoSpaceDE w:val="0"/>
        <w:autoSpaceDN w:val="0"/>
        <w:adjustRightInd w:val="0"/>
        <w:spacing w:after="240"/>
        <w:rPr>
          <w:rFonts w:cs="Arial"/>
          <w:szCs w:val="24"/>
          <w:lang w:eastAsia="en-GB"/>
        </w:rPr>
      </w:pPr>
      <w:r w:rsidRPr="00A9097C">
        <w:rPr>
          <w:rFonts w:cs="Arial"/>
          <w:szCs w:val="24"/>
          <w:lang w:eastAsia="en-GB"/>
        </w:rPr>
        <w:t>The proposals described above do not adversely impact upon persons</w:t>
      </w:r>
      <w:r>
        <w:rPr>
          <w:rFonts w:cs="Arial"/>
          <w:szCs w:val="24"/>
          <w:lang w:eastAsia="en-GB"/>
        </w:rPr>
        <w:t xml:space="preserve"> </w:t>
      </w:r>
      <w:r w:rsidRPr="00A9097C">
        <w:rPr>
          <w:rFonts w:cs="Arial"/>
          <w:szCs w:val="24"/>
          <w:lang w:eastAsia="en-GB"/>
        </w:rPr>
        <w:t>within the protected categories.</w:t>
      </w:r>
      <w:r w:rsidR="00375398">
        <w:t xml:space="preserve"> </w:t>
      </w:r>
    </w:p>
    <w:p w14:paraId="0E9ED8C5" w14:textId="2F45E3C6" w:rsidR="00333FAA" w:rsidRPr="005E582C" w:rsidRDefault="005E582C" w:rsidP="00CE04D6">
      <w:pPr>
        <w:pStyle w:val="ListParagraph"/>
        <w:numPr>
          <w:ilvl w:val="0"/>
          <w:numId w:val="3"/>
        </w:numPr>
        <w:spacing w:after="120" w:line="259" w:lineRule="auto"/>
        <w:rPr>
          <w:rFonts w:cs="Arial"/>
          <w:b/>
          <w:bCs/>
          <w:u w:val="single"/>
        </w:rPr>
      </w:pPr>
      <w:r w:rsidRPr="005E582C">
        <w:rPr>
          <w:b/>
          <w:bCs/>
          <w:u w:val="single"/>
        </w:rPr>
        <w:t>COUNCIL PRIORITIES</w:t>
      </w:r>
    </w:p>
    <w:p w14:paraId="7EEEB0D0" w14:textId="77777777" w:rsidR="001966D7" w:rsidRPr="00CD57D8" w:rsidRDefault="001966D7" w:rsidP="001966D7">
      <w:pPr>
        <w:rPr>
          <w:rFonts w:cs="Arial"/>
          <w:szCs w:val="24"/>
          <w:lang w:val="en-US"/>
        </w:rPr>
      </w:pPr>
      <w:r w:rsidRPr="00CD57D8">
        <w:rPr>
          <w:rFonts w:cs="Arial"/>
          <w:szCs w:val="24"/>
          <w:lang w:val="en-US"/>
        </w:rPr>
        <w:t xml:space="preserve">Please identify how the </w:t>
      </w:r>
      <w:r w:rsidR="00A23E19">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3A3D153F" w14:textId="77777777" w:rsidR="001842D0" w:rsidRPr="001842D0" w:rsidRDefault="00D0381E" w:rsidP="001842D0">
      <w:pPr>
        <w:pStyle w:val="ListParagraph"/>
        <w:numPr>
          <w:ilvl w:val="0"/>
          <w:numId w:val="1"/>
        </w:numPr>
        <w:autoSpaceDE w:val="0"/>
        <w:autoSpaceDN w:val="0"/>
        <w:spacing w:before="240"/>
        <w:rPr>
          <w:b/>
          <w:bCs/>
        </w:rPr>
      </w:pPr>
      <w:r w:rsidRPr="00D0381E">
        <w:rPr>
          <w:b/>
        </w:rPr>
        <w:t>Improving the environment and addressing climate change</w:t>
      </w:r>
    </w:p>
    <w:p w14:paraId="333D24CE" w14:textId="694FECD2" w:rsidR="00E67841" w:rsidRPr="001842D0" w:rsidRDefault="001842D0" w:rsidP="001842D0">
      <w:pPr>
        <w:pStyle w:val="ListParagraph"/>
        <w:autoSpaceDE w:val="0"/>
        <w:autoSpaceDN w:val="0"/>
        <w:spacing w:before="240"/>
        <w:rPr>
          <w:b/>
          <w:bCs/>
        </w:rPr>
      </w:pPr>
      <w:r>
        <w:t>The contract will maximise the achievable environmental benefits through the procurement exercise</w:t>
      </w:r>
    </w:p>
    <w:p w14:paraId="3B546FEA" w14:textId="30C8018C" w:rsidR="00D07F46" w:rsidRPr="00AE0185" w:rsidRDefault="00D0381E" w:rsidP="00BF206B">
      <w:pPr>
        <w:pStyle w:val="ListParagraph"/>
        <w:numPr>
          <w:ilvl w:val="0"/>
          <w:numId w:val="1"/>
        </w:numPr>
        <w:autoSpaceDE w:val="0"/>
        <w:autoSpaceDN w:val="0"/>
        <w:spacing w:before="240"/>
        <w:rPr>
          <w:b/>
          <w:bCs/>
        </w:rPr>
      </w:pPr>
      <w:r w:rsidRPr="00D0381E">
        <w:rPr>
          <w:b/>
        </w:rPr>
        <w:t>Tackling poverty and inequality</w:t>
      </w:r>
    </w:p>
    <w:p w14:paraId="03F02138" w14:textId="115626F6" w:rsidR="00AE0185" w:rsidRPr="001842D0" w:rsidRDefault="00E47473" w:rsidP="00E47473">
      <w:pPr>
        <w:autoSpaceDE w:val="0"/>
        <w:autoSpaceDN w:val="0"/>
        <w:spacing w:before="240"/>
        <w:ind w:left="720"/>
        <w:rPr>
          <w:bCs/>
        </w:rPr>
      </w:pPr>
      <w:r>
        <w:t>Supporting existing jobs and creating job opportunities for residents within the local forecourt supply network</w:t>
      </w:r>
    </w:p>
    <w:p w14:paraId="31563814" w14:textId="79DA3778" w:rsidR="00D07F46" w:rsidRPr="00437BE6" w:rsidRDefault="00D0381E" w:rsidP="00BF206B">
      <w:pPr>
        <w:pStyle w:val="ListParagraph"/>
        <w:numPr>
          <w:ilvl w:val="0"/>
          <w:numId w:val="1"/>
        </w:numPr>
        <w:autoSpaceDE w:val="0"/>
        <w:autoSpaceDN w:val="0"/>
        <w:spacing w:before="240"/>
        <w:rPr>
          <w:b/>
          <w:bCs/>
        </w:rPr>
      </w:pPr>
      <w:r w:rsidRPr="00D0381E">
        <w:rPr>
          <w:b/>
        </w:rPr>
        <w:t>Building homes and infrastructure</w:t>
      </w:r>
    </w:p>
    <w:p w14:paraId="438EE1F7" w14:textId="306ECEA9" w:rsidR="00437BE6" w:rsidRPr="00E47473" w:rsidRDefault="00E47473" w:rsidP="00E47473">
      <w:pPr>
        <w:autoSpaceDE w:val="0"/>
        <w:autoSpaceDN w:val="0"/>
        <w:spacing w:before="240"/>
        <w:ind w:left="720"/>
        <w:rPr>
          <w:bCs/>
        </w:rPr>
      </w:pPr>
      <w:r>
        <w:rPr>
          <w:bCs/>
        </w:rPr>
        <w:lastRenderedPageBreak/>
        <w:t>N/A</w:t>
      </w:r>
    </w:p>
    <w:p w14:paraId="53B22976" w14:textId="49A6C1A9" w:rsidR="00D07F46" w:rsidRDefault="00D0381E" w:rsidP="00BF206B">
      <w:pPr>
        <w:pStyle w:val="ListParagraph"/>
        <w:numPr>
          <w:ilvl w:val="0"/>
          <w:numId w:val="1"/>
        </w:numPr>
        <w:autoSpaceDE w:val="0"/>
        <w:autoSpaceDN w:val="0"/>
        <w:spacing w:before="240"/>
        <w:rPr>
          <w:b/>
        </w:rPr>
      </w:pPr>
      <w:r w:rsidRPr="00D0381E">
        <w:rPr>
          <w:b/>
        </w:rPr>
        <w:t>Addressing health and social care inequality</w:t>
      </w:r>
    </w:p>
    <w:p w14:paraId="1D605254" w14:textId="3C511681" w:rsidR="00C62FCD" w:rsidRPr="00E47473" w:rsidRDefault="00E47473" w:rsidP="00E47473">
      <w:pPr>
        <w:autoSpaceDE w:val="0"/>
        <w:autoSpaceDN w:val="0"/>
        <w:spacing w:before="240"/>
        <w:ind w:left="720"/>
        <w:rPr>
          <w:bCs/>
        </w:rPr>
      </w:pPr>
      <w:r>
        <w:rPr>
          <w:bCs/>
        </w:rPr>
        <w:t>N/A</w:t>
      </w:r>
    </w:p>
    <w:p w14:paraId="74ED77AB" w14:textId="0DD937A5" w:rsidR="00307F76" w:rsidRDefault="00D0381E" w:rsidP="00BF206B">
      <w:pPr>
        <w:pStyle w:val="ListParagraph"/>
        <w:numPr>
          <w:ilvl w:val="0"/>
          <w:numId w:val="1"/>
        </w:numPr>
        <w:autoSpaceDE w:val="0"/>
        <w:autoSpaceDN w:val="0"/>
        <w:spacing w:before="240"/>
        <w:rPr>
          <w:b/>
        </w:rPr>
      </w:pPr>
      <w:r w:rsidRPr="00D0381E">
        <w:rPr>
          <w:b/>
        </w:rPr>
        <w:t>Thriving economy</w:t>
      </w:r>
    </w:p>
    <w:p w14:paraId="6138742E" w14:textId="04BBB77B" w:rsidR="00E47473" w:rsidRPr="00E47473" w:rsidRDefault="004E609C" w:rsidP="004E609C">
      <w:pPr>
        <w:autoSpaceDE w:val="0"/>
        <w:autoSpaceDN w:val="0"/>
        <w:spacing w:before="240"/>
        <w:ind w:left="720"/>
        <w:rPr>
          <w:b/>
        </w:rPr>
      </w:pPr>
      <w:r>
        <w:t>The contract will inject cash into the local economy through the purchase of fuel within the local forecourt network in Harrow</w:t>
      </w:r>
    </w:p>
    <w:p w14:paraId="5514D939" w14:textId="0431A117" w:rsidR="00333FAA" w:rsidRDefault="00333FAA" w:rsidP="000B7C66">
      <w:pPr>
        <w:pStyle w:val="Heading2"/>
        <w:spacing w:before="480" w:after="240"/>
      </w:pPr>
      <w:r>
        <w:t>Section 3 - Statutory Officer Clearance</w:t>
      </w:r>
    </w:p>
    <w:p w14:paraId="3B5D52F9" w14:textId="292CFBEC" w:rsidR="00A66326" w:rsidRPr="00A66326" w:rsidRDefault="00A66326" w:rsidP="00A66326">
      <w:pPr>
        <w:rPr>
          <w:sz w:val="28"/>
        </w:rPr>
      </w:pPr>
      <w:r w:rsidRPr="00A66326">
        <w:rPr>
          <w:b/>
          <w:sz w:val="28"/>
        </w:rPr>
        <w:t xml:space="preserve">Statutory Officer:  </w:t>
      </w:r>
      <w:r w:rsidR="002967F1" w:rsidRPr="002967F1">
        <w:rPr>
          <w:bCs/>
          <w:sz w:val="28"/>
        </w:rPr>
        <w:t>Dawn Calvert</w:t>
      </w:r>
    </w:p>
    <w:p w14:paraId="06450070" w14:textId="3DC94F59" w:rsidR="00A66326" w:rsidRPr="00A66326" w:rsidRDefault="00A66326" w:rsidP="00A66326">
      <w:r w:rsidRPr="00A66326">
        <w:t>Signed by the Chief Financial Officer</w:t>
      </w:r>
    </w:p>
    <w:p w14:paraId="555021EF" w14:textId="1B98A5A6" w:rsidR="00A66326" w:rsidRPr="00A66326" w:rsidRDefault="00A66326" w:rsidP="00A66326">
      <w:pPr>
        <w:spacing w:after="480"/>
        <w:rPr>
          <w:sz w:val="28"/>
        </w:rPr>
      </w:pPr>
      <w:r w:rsidRPr="00A66326">
        <w:rPr>
          <w:b/>
          <w:sz w:val="28"/>
        </w:rPr>
        <w:t xml:space="preserve">Date: </w:t>
      </w:r>
      <w:r w:rsidR="00A310C2">
        <w:rPr>
          <w:b/>
          <w:sz w:val="28"/>
        </w:rPr>
        <w:t>17</w:t>
      </w:r>
      <w:r w:rsidR="00523B2F">
        <w:rPr>
          <w:b/>
          <w:sz w:val="28"/>
        </w:rPr>
        <w:t>/</w:t>
      </w:r>
      <w:r w:rsidR="00A310C2">
        <w:rPr>
          <w:b/>
          <w:sz w:val="28"/>
        </w:rPr>
        <w:t>07/2021</w:t>
      </w:r>
    </w:p>
    <w:p w14:paraId="7E329E85" w14:textId="18B80751" w:rsidR="00A66326" w:rsidRPr="00A66326" w:rsidRDefault="00A66326" w:rsidP="00A66326">
      <w:pPr>
        <w:rPr>
          <w:sz w:val="28"/>
        </w:rPr>
      </w:pPr>
      <w:r w:rsidRPr="00A66326">
        <w:rPr>
          <w:b/>
          <w:sz w:val="28"/>
        </w:rPr>
        <w:t xml:space="preserve">Statutory Officer:  </w:t>
      </w:r>
      <w:r w:rsidR="00E02343">
        <w:rPr>
          <w:bCs/>
          <w:sz w:val="28"/>
        </w:rPr>
        <w:t>Graham McIntosh</w:t>
      </w:r>
    </w:p>
    <w:p w14:paraId="76F84634" w14:textId="0486DB8E" w:rsidR="00A66326" w:rsidRPr="00A66326" w:rsidRDefault="00A66326" w:rsidP="00A66326">
      <w:r w:rsidRPr="00A66326">
        <w:t>Signed on behalf of the Monitoring Officer</w:t>
      </w:r>
    </w:p>
    <w:p w14:paraId="1AC0D358" w14:textId="1FF02D41" w:rsidR="00A66326" w:rsidRPr="003313EA" w:rsidRDefault="00A66326" w:rsidP="00A66326">
      <w:pPr>
        <w:spacing w:after="480"/>
        <w:rPr>
          <w:sz w:val="28"/>
        </w:rPr>
      </w:pPr>
      <w:r w:rsidRPr="00A66326">
        <w:rPr>
          <w:b/>
          <w:sz w:val="28"/>
        </w:rPr>
        <w:t xml:space="preserve">Date: </w:t>
      </w:r>
      <w:r w:rsidR="00D03D8F">
        <w:rPr>
          <w:b/>
          <w:sz w:val="28"/>
        </w:rPr>
        <w:t>16/07/2021</w:t>
      </w:r>
    </w:p>
    <w:p w14:paraId="31D8FA55" w14:textId="301DB798" w:rsidR="00BF5AFA" w:rsidRPr="00A66326" w:rsidRDefault="00BF5AFA" w:rsidP="00BF5AFA">
      <w:pPr>
        <w:rPr>
          <w:sz w:val="28"/>
        </w:rPr>
      </w:pPr>
      <w:r>
        <w:rPr>
          <w:b/>
          <w:sz w:val="28"/>
        </w:rPr>
        <w:t>Chief</w:t>
      </w:r>
      <w:r w:rsidRPr="00A66326">
        <w:rPr>
          <w:b/>
          <w:sz w:val="28"/>
        </w:rPr>
        <w:t xml:space="preserve"> Officer:  </w:t>
      </w:r>
      <w:r w:rsidR="00E02343">
        <w:rPr>
          <w:bCs/>
          <w:sz w:val="28"/>
        </w:rPr>
        <w:t>Mark Billington</w:t>
      </w:r>
    </w:p>
    <w:p w14:paraId="6C086558" w14:textId="6DDEDC59" w:rsidR="00BF5AFA" w:rsidRPr="00A66326" w:rsidRDefault="00BF5AFA" w:rsidP="00BF5AFA">
      <w:r w:rsidRPr="00A66326">
        <w:t xml:space="preserve">Signed </w:t>
      </w:r>
      <w:r>
        <w:t>off by the Corporate Director</w:t>
      </w:r>
    </w:p>
    <w:p w14:paraId="5F67CDF0" w14:textId="1230588D" w:rsidR="00BF5AFA" w:rsidRPr="00A66326" w:rsidRDefault="00BF5AFA" w:rsidP="00BF5AFA">
      <w:pPr>
        <w:spacing w:after="480"/>
        <w:rPr>
          <w:sz w:val="28"/>
        </w:rPr>
      </w:pPr>
      <w:r w:rsidRPr="00A66326">
        <w:rPr>
          <w:b/>
          <w:sz w:val="28"/>
        </w:rPr>
        <w:t xml:space="preserve">Date:  </w:t>
      </w:r>
      <w:r w:rsidR="00523B2F">
        <w:rPr>
          <w:b/>
          <w:sz w:val="28"/>
        </w:rPr>
        <w:t>27/07/2021</w:t>
      </w:r>
    </w:p>
    <w:p w14:paraId="2C546334" w14:textId="5EF9616F" w:rsidR="00BF5AFA" w:rsidRPr="00A66326" w:rsidRDefault="00BF5AFA" w:rsidP="00BF5AFA">
      <w:pPr>
        <w:rPr>
          <w:sz w:val="28"/>
        </w:rPr>
      </w:pPr>
      <w:r>
        <w:rPr>
          <w:b/>
          <w:sz w:val="28"/>
        </w:rPr>
        <w:t>Head of Procurement</w:t>
      </w:r>
      <w:r w:rsidRPr="00A66326">
        <w:rPr>
          <w:b/>
          <w:sz w:val="28"/>
        </w:rPr>
        <w:t xml:space="preserve">:  </w:t>
      </w:r>
      <w:r w:rsidR="00A57A54" w:rsidRPr="00A57A54">
        <w:rPr>
          <w:bCs/>
          <w:sz w:val="28"/>
        </w:rPr>
        <w:t>Nimesh Mehta</w:t>
      </w:r>
    </w:p>
    <w:p w14:paraId="794DD2A1" w14:textId="49C78239" w:rsidR="00BF5AFA" w:rsidRPr="00A57A54" w:rsidRDefault="00BF5AFA" w:rsidP="00A57A54">
      <w:r w:rsidRPr="00A66326">
        <w:t xml:space="preserve">Signed by the </w:t>
      </w:r>
      <w:r>
        <w:t>Head of Procurement</w:t>
      </w:r>
    </w:p>
    <w:p w14:paraId="5A683B65" w14:textId="085E2D35" w:rsidR="00BF5AFA" w:rsidRPr="003313EA" w:rsidRDefault="00BF5AFA" w:rsidP="00BF5AFA">
      <w:pPr>
        <w:spacing w:after="480"/>
        <w:rPr>
          <w:sz w:val="28"/>
        </w:rPr>
      </w:pPr>
      <w:r w:rsidRPr="00A66326">
        <w:rPr>
          <w:b/>
          <w:sz w:val="28"/>
        </w:rPr>
        <w:t xml:space="preserve">Date:  </w:t>
      </w:r>
      <w:r w:rsidR="00D03D8F">
        <w:rPr>
          <w:b/>
          <w:sz w:val="28"/>
        </w:rPr>
        <w:t>14/07/2021</w:t>
      </w:r>
    </w:p>
    <w:p w14:paraId="113297A5" w14:textId="6F4AE2F9" w:rsidR="00BF5AFA" w:rsidRPr="00A66326" w:rsidRDefault="00BF5AFA" w:rsidP="00BF5AFA">
      <w:pPr>
        <w:rPr>
          <w:sz w:val="28"/>
        </w:rPr>
      </w:pPr>
      <w:r>
        <w:rPr>
          <w:b/>
          <w:sz w:val="28"/>
        </w:rPr>
        <w:t>Head of Internal Audit</w:t>
      </w:r>
      <w:r w:rsidRPr="00A66326">
        <w:rPr>
          <w:b/>
          <w:sz w:val="28"/>
        </w:rPr>
        <w:t xml:space="preserve">:  </w:t>
      </w:r>
      <w:r w:rsidR="00EA29D8" w:rsidRPr="00EA29D8">
        <w:rPr>
          <w:bCs/>
          <w:sz w:val="28"/>
        </w:rPr>
        <w:t>Susan Dixson</w:t>
      </w:r>
    </w:p>
    <w:p w14:paraId="5CF04A24" w14:textId="70B1AF67" w:rsidR="00BF5AFA" w:rsidRPr="00A66326" w:rsidRDefault="00BF5AFA" w:rsidP="00BF5AFA">
      <w:r w:rsidRPr="00A66326">
        <w:t xml:space="preserve">Signed by the </w:t>
      </w:r>
      <w:r>
        <w:t>Head of Internal Audit</w:t>
      </w:r>
    </w:p>
    <w:p w14:paraId="065BF29C" w14:textId="3EA31892" w:rsidR="00BF5AFA" w:rsidRPr="00523B2F" w:rsidRDefault="00BF5AFA" w:rsidP="00BF5AFA">
      <w:pPr>
        <w:pStyle w:val="Heading2"/>
        <w:spacing w:after="240"/>
      </w:pPr>
      <w:r w:rsidRPr="00EA29D8">
        <w:rPr>
          <w:rFonts w:ascii="Arial" w:hAnsi="Arial"/>
          <w:sz w:val="28"/>
        </w:rPr>
        <w:t>Date:</w:t>
      </w:r>
      <w:r w:rsidR="00EA29D8">
        <w:rPr>
          <w:sz w:val="28"/>
        </w:rPr>
        <w:t xml:space="preserve"> </w:t>
      </w:r>
      <w:r w:rsidR="00523B2F">
        <w:rPr>
          <w:sz w:val="28"/>
        </w:rPr>
        <w:t>27/07/2021</w:t>
      </w:r>
    </w:p>
    <w:p w14:paraId="45A19EC7" w14:textId="59434FDF" w:rsidR="003313EA" w:rsidRPr="00435B5D" w:rsidRDefault="003313EA" w:rsidP="00BF5AFA">
      <w:pPr>
        <w:pStyle w:val="Heading2"/>
        <w:spacing w:before="480" w:after="240"/>
      </w:pPr>
      <w:r>
        <w:t>Mandatory Checks</w:t>
      </w:r>
    </w:p>
    <w:p w14:paraId="64551188" w14:textId="2704D1B2" w:rsidR="003313EA" w:rsidRPr="00A406F3" w:rsidRDefault="003313EA" w:rsidP="003313EA">
      <w:pPr>
        <w:pStyle w:val="Heading3"/>
        <w:ind w:left="0" w:firstLine="0"/>
        <w:jc w:val="left"/>
      </w:pPr>
      <w:r w:rsidRPr="003313EA">
        <w:t xml:space="preserve">Ward Councillors </w:t>
      </w:r>
      <w:r>
        <w:t xml:space="preserve">notified:  </w:t>
      </w:r>
      <w:r w:rsidRPr="00A34740">
        <w:rPr>
          <w:b w:val="0"/>
          <w:bCs w:val="0"/>
        </w:rPr>
        <w:t xml:space="preserve">NO, as it impacts on all Wards </w:t>
      </w:r>
    </w:p>
    <w:p w14:paraId="2E8E750F" w14:textId="01D7B8A2" w:rsidR="003313EA" w:rsidRPr="003313EA" w:rsidRDefault="003313EA" w:rsidP="00A53B04">
      <w:pPr>
        <w:pStyle w:val="Infotext"/>
        <w:rPr>
          <w:i/>
          <w:color w:val="FF0000"/>
          <w:sz w:val="24"/>
          <w:szCs w:val="24"/>
        </w:rPr>
      </w:pPr>
      <w:r w:rsidRPr="003313EA">
        <w:rPr>
          <w:i/>
          <w:color w:val="FF0000"/>
          <w:sz w:val="24"/>
          <w:szCs w:val="24"/>
        </w:rPr>
        <w:t xml:space="preserve"> </w:t>
      </w:r>
    </w:p>
    <w:p w14:paraId="2A2D9472" w14:textId="15E193ED" w:rsidR="003313EA" w:rsidRPr="00202D79" w:rsidRDefault="003313EA" w:rsidP="003313EA">
      <w:pPr>
        <w:pStyle w:val="Heading3"/>
        <w:spacing w:before="240"/>
        <w:rPr>
          <w:b w:val="0"/>
        </w:rPr>
      </w:pPr>
      <w:r w:rsidRPr="00202D79">
        <w:t>EqIA carried out:</w:t>
      </w:r>
      <w:r>
        <w:t xml:space="preserve">  </w:t>
      </w:r>
      <w:r w:rsidR="00523B2F">
        <w:t>Yes</w:t>
      </w:r>
    </w:p>
    <w:p w14:paraId="0A33C08F" w14:textId="143CE674" w:rsidR="006B2556" w:rsidRPr="006B2556" w:rsidRDefault="002F12CC" w:rsidP="002F12CC">
      <w:pPr>
        <w:pStyle w:val="Infotext"/>
        <w:rPr>
          <w:sz w:val="24"/>
          <w:szCs w:val="18"/>
        </w:rPr>
      </w:pPr>
      <w:r w:rsidRPr="002F12CC">
        <w:rPr>
          <w:sz w:val="24"/>
          <w:szCs w:val="18"/>
        </w:rPr>
        <w:t>The proposals described above do not adversely impact upon persons</w:t>
      </w:r>
      <w:r>
        <w:rPr>
          <w:sz w:val="24"/>
          <w:szCs w:val="18"/>
        </w:rPr>
        <w:t xml:space="preserve"> </w:t>
      </w:r>
      <w:r w:rsidRPr="002F12CC">
        <w:rPr>
          <w:sz w:val="24"/>
          <w:szCs w:val="18"/>
        </w:rPr>
        <w:t>within the protected categories</w:t>
      </w:r>
    </w:p>
    <w:p w14:paraId="41E16C55" w14:textId="0CE0D153"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3D66E7AE" w14:textId="77777777" w:rsidR="009D488D" w:rsidRDefault="00333FAA" w:rsidP="00CC18AC">
      <w:pPr>
        <w:pStyle w:val="Infotext"/>
        <w:spacing w:after="240"/>
        <w:rPr>
          <w:b/>
        </w:rPr>
      </w:pPr>
      <w:r w:rsidRPr="004E47FC">
        <w:rPr>
          <w:b/>
        </w:rPr>
        <w:t xml:space="preserve">Contact: </w:t>
      </w:r>
    </w:p>
    <w:p w14:paraId="0655492C" w14:textId="212B2B73" w:rsidR="00E36782" w:rsidRPr="00E36782" w:rsidRDefault="00040E90" w:rsidP="00CC18AC">
      <w:pPr>
        <w:pStyle w:val="Infotext"/>
        <w:spacing w:after="240"/>
        <w:rPr>
          <w:bCs/>
          <w:sz w:val="24"/>
          <w:szCs w:val="18"/>
        </w:rPr>
      </w:pPr>
      <w:r>
        <w:rPr>
          <w:bCs/>
          <w:sz w:val="24"/>
          <w:szCs w:val="18"/>
        </w:rPr>
        <w:t>Anita Cacchioli</w:t>
      </w:r>
      <w:r w:rsidR="009D488D" w:rsidRPr="009D488D">
        <w:rPr>
          <w:bCs/>
          <w:sz w:val="24"/>
          <w:szCs w:val="18"/>
        </w:rPr>
        <w:t xml:space="preserve">- </w:t>
      </w:r>
      <w:r>
        <w:rPr>
          <w:bCs/>
          <w:sz w:val="24"/>
          <w:szCs w:val="18"/>
        </w:rPr>
        <w:t xml:space="preserve">Interim </w:t>
      </w:r>
      <w:r w:rsidR="009D488D" w:rsidRPr="009D488D">
        <w:rPr>
          <w:bCs/>
          <w:sz w:val="24"/>
          <w:szCs w:val="18"/>
        </w:rPr>
        <w:t xml:space="preserve">Head of </w:t>
      </w:r>
      <w:r w:rsidR="00E36782">
        <w:rPr>
          <w:bCs/>
          <w:sz w:val="24"/>
          <w:szCs w:val="18"/>
        </w:rPr>
        <w:t>Transport</w:t>
      </w:r>
      <w:r>
        <w:rPr>
          <w:bCs/>
          <w:sz w:val="24"/>
          <w:szCs w:val="18"/>
        </w:rPr>
        <w:t xml:space="preserve"> and Environmental Operations </w:t>
      </w:r>
      <w:hyperlink r:id="rId13" w:history="1">
        <w:r w:rsidRPr="00911238">
          <w:rPr>
            <w:rStyle w:val="Hyperlink"/>
            <w:bCs/>
            <w:sz w:val="24"/>
            <w:szCs w:val="18"/>
          </w:rPr>
          <w:t>anita.cacchioli@harrow.gov.uk</w:t>
        </w:r>
      </w:hyperlink>
      <w:r w:rsidR="009D488D" w:rsidRPr="009D488D">
        <w:rPr>
          <w:bCs/>
          <w:sz w:val="24"/>
          <w:szCs w:val="18"/>
        </w:rPr>
        <w:t xml:space="preserve"> </w:t>
      </w:r>
    </w:p>
    <w:p w14:paraId="5643A7F9" w14:textId="2F47C3F5" w:rsidR="005718B5" w:rsidRPr="00842757" w:rsidRDefault="00333FAA" w:rsidP="00026E27">
      <w:pPr>
        <w:pStyle w:val="Infotext"/>
        <w:spacing w:after="240"/>
        <w:rPr>
          <w:rFonts w:ascii="Calibri" w:hAnsi="Calibri"/>
          <w:szCs w:val="24"/>
          <w:lang w:eastAsia="en-GB"/>
        </w:rPr>
      </w:pPr>
      <w:r w:rsidRPr="004E47FC">
        <w:rPr>
          <w:b/>
        </w:rPr>
        <w:t xml:space="preserve">Background Papers: </w:t>
      </w:r>
      <w:r w:rsidR="00026E27" w:rsidRPr="00026E27">
        <w:rPr>
          <w:bCs/>
          <w:sz w:val="24"/>
          <w:szCs w:val="18"/>
        </w:rPr>
        <w:t>None</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670486F4" w:rsidR="000D4E36" w:rsidRPr="00ED6776" w:rsidRDefault="00842757" w:rsidP="00D90757">
      <w:pPr>
        <w:pStyle w:val="Infotext"/>
        <w:spacing w:before="240"/>
        <w:rPr>
          <w:rFonts w:cs="Arial"/>
          <w:i/>
          <w:sz w:val="24"/>
          <w:szCs w:val="24"/>
          <w:lang w:eastAsia="en-GB"/>
        </w:rPr>
      </w:pPr>
      <w:r w:rsidRPr="003D78F6">
        <w:rPr>
          <w:b/>
        </w:rPr>
        <w:t>NO</w:t>
      </w:r>
      <w:bookmarkStart w:id="4" w:name="_GoBack"/>
      <w:bookmarkEnd w:id="4"/>
      <w:r w:rsidRPr="003D78F6">
        <w:rPr>
          <w:b/>
        </w:rPr>
        <w:t xml:space="preserve"> </w:t>
      </w:r>
    </w:p>
    <w:sectPr w:rsidR="000D4E36" w:rsidRPr="00ED677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F0B3D" w14:textId="77777777" w:rsidR="00815922" w:rsidRDefault="00815922">
      <w:r>
        <w:separator/>
      </w:r>
    </w:p>
  </w:endnote>
  <w:endnote w:type="continuationSeparator" w:id="0">
    <w:p w14:paraId="385B710C" w14:textId="77777777" w:rsidR="00815922" w:rsidRDefault="0081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928C" w14:textId="77777777" w:rsidR="00815922" w:rsidRDefault="00815922">
      <w:r>
        <w:separator/>
      </w:r>
    </w:p>
  </w:footnote>
  <w:footnote w:type="continuationSeparator" w:id="0">
    <w:p w14:paraId="6BE1A1C6" w14:textId="77777777" w:rsidR="00815922" w:rsidRDefault="0081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E09"/>
    <w:multiLevelType w:val="multilevel"/>
    <w:tmpl w:val="47B07D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B6376"/>
    <w:multiLevelType w:val="hybridMultilevel"/>
    <w:tmpl w:val="D118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41645"/>
    <w:multiLevelType w:val="multilevel"/>
    <w:tmpl w:val="47B07D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AA5D65"/>
    <w:multiLevelType w:val="multilevel"/>
    <w:tmpl w:val="47B07D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A40C79"/>
    <w:multiLevelType w:val="hybridMultilevel"/>
    <w:tmpl w:val="61846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22262"/>
    <w:multiLevelType w:val="hybridMultilevel"/>
    <w:tmpl w:val="67A8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17BC4"/>
    <w:multiLevelType w:val="multilevel"/>
    <w:tmpl w:val="A7AE2D8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2C81C86"/>
    <w:multiLevelType w:val="hybridMultilevel"/>
    <w:tmpl w:val="D406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26208"/>
    <w:multiLevelType w:val="multilevel"/>
    <w:tmpl w:val="47B07D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B264F1"/>
    <w:multiLevelType w:val="multilevel"/>
    <w:tmpl w:val="0584FFA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D65E58"/>
    <w:multiLevelType w:val="hybridMultilevel"/>
    <w:tmpl w:val="504CCE14"/>
    <w:lvl w:ilvl="0" w:tplc="235006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0339CE"/>
    <w:multiLevelType w:val="hybridMultilevel"/>
    <w:tmpl w:val="C31C93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644BA"/>
    <w:multiLevelType w:val="hybridMultilevel"/>
    <w:tmpl w:val="9606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008FB"/>
    <w:multiLevelType w:val="hybridMultilevel"/>
    <w:tmpl w:val="82D6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1"/>
  </w:num>
  <w:num w:numId="5">
    <w:abstractNumId w:val="10"/>
  </w:num>
  <w:num w:numId="6">
    <w:abstractNumId w:val="16"/>
  </w:num>
  <w:num w:numId="7">
    <w:abstractNumId w:val="14"/>
  </w:num>
  <w:num w:numId="8">
    <w:abstractNumId w:val="4"/>
  </w:num>
  <w:num w:numId="9">
    <w:abstractNumId w:val="11"/>
  </w:num>
  <w:num w:numId="10">
    <w:abstractNumId w:val="3"/>
  </w:num>
  <w:num w:numId="11">
    <w:abstractNumId w:val="0"/>
  </w:num>
  <w:num w:numId="12">
    <w:abstractNumId w:val="8"/>
  </w:num>
  <w:num w:numId="13">
    <w:abstractNumId w:val="13"/>
  </w:num>
  <w:num w:numId="14">
    <w:abstractNumId w:val="6"/>
  </w:num>
  <w:num w:numId="15">
    <w:abstractNumId w:val="5"/>
  </w:num>
  <w:num w:numId="16">
    <w:abstractNumId w:val="7"/>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42EA"/>
    <w:rsid w:val="00021016"/>
    <w:rsid w:val="00026E27"/>
    <w:rsid w:val="00031B5B"/>
    <w:rsid w:val="0003461A"/>
    <w:rsid w:val="00035B3F"/>
    <w:rsid w:val="0004029A"/>
    <w:rsid w:val="00040E90"/>
    <w:rsid w:val="000474E3"/>
    <w:rsid w:val="000506B1"/>
    <w:rsid w:val="00052320"/>
    <w:rsid w:val="0005370F"/>
    <w:rsid w:val="00055A90"/>
    <w:rsid w:val="000575C3"/>
    <w:rsid w:val="0006034E"/>
    <w:rsid w:val="000625B8"/>
    <w:rsid w:val="00063783"/>
    <w:rsid w:val="00073765"/>
    <w:rsid w:val="00074D47"/>
    <w:rsid w:val="00076AE6"/>
    <w:rsid w:val="00083A1A"/>
    <w:rsid w:val="00084FF0"/>
    <w:rsid w:val="00085094"/>
    <w:rsid w:val="000929A6"/>
    <w:rsid w:val="00095FA1"/>
    <w:rsid w:val="000A057E"/>
    <w:rsid w:val="000A4947"/>
    <w:rsid w:val="000A7489"/>
    <w:rsid w:val="000B09FF"/>
    <w:rsid w:val="000B5015"/>
    <w:rsid w:val="000B788F"/>
    <w:rsid w:val="000B7C66"/>
    <w:rsid w:val="000C48A5"/>
    <w:rsid w:val="000D24C5"/>
    <w:rsid w:val="000D4E36"/>
    <w:rsid w:val="000E62FE"/>
    <w:rsid w:val="000F2324"/>
    <w:rsid w:val="000F5EBE"/>
    <w:rsid w:val="00105B86"/>
    <w:rsid w:val="00105B8A"/>
    <w:rsid w:val="00107AB4"/>
    <w:rsid w:val="00113470"/>
    <w:rsid w:val="001161E4"/>
    <w:rsid w:val="001221B7"/>
    <w:rsid w:val="00125A26"/>
    <w:rsid w:val="001402E6"/>
    <w:rsid w:val="001429B2"/>
    <w:rsid w:val="001472A8"/>
    <w:rsid w:val="0015376F"/>
    <w:rsid w:val="00153FAA"/>
    <w:rsid w:val="001614E0"/>
    <w:rsid w:val="001633CC"/>
    <w:rsid w:val="00171BD8"/>
    <w:rsid w:val="0017412F"/>
    <w:rsid w:val="0017653E"/>
    <w:rsid w:val="00182B01"/>
    <w:rsid w:val="001840D2"/>
    <w:rsid w:val="001842D0"/>
    <w:rsid w:val="00190BF8"/>
    <w:rsid w:val="001966D7"/>
    <w:rsid w:val="001A2139"/>
    <w:rsid w:val="001A3479"/>
    <w:rsid w:val="001B2D8B"/>
    <w:rsid w:val="001C4D2E"/>
    <w:rsid w:val="001C7E35"/>
    <w:rsid w:val="001D4594"/>
    <w:rsid w:val="001D6825"/>
    <w:rsid w:val="001D798F"/>
    <w:rsid w:val="001E3C06"/>
    <w:rsid w:val="001E6607"/>
    <w:rsid w:val="001F0037"/>
    <w:rsid w:val="001F0BE9"/>
    <w:rsid w:val="00202D79"/>
    <w:rsid w:val="00202E04"/>
    <w:rsid w:val="00205053"/>
    <w:rsid w:val="00205D2F"/>
    <w:rsid w:val="0020719F"/>
    <w:rsid w:val="00214849"/>
    <w:rsid w:val="00215E8F"/>
    <w:rsid w:val="00220632"/>
    <w:rsid w:val="00221A93"/>
    <w:rsid w:val="002322BB"/>
    <w:rsid w:val="0023285C"/>
    <w:rsid w:val="00234FB8"/>
    <w:rsid w:val="002419C5"/>
    <w:rsid w:val="0024496A"/>
    <w:rsid w:val="00250A1C"/>
    <w:rsid w:val="00251254"/>
    <w:rsid w:val="00251E2E"/>
    <w:rsid w:val="002548D1"/>
    <w:rsid w:val="00256AA4"/>
    <w:rsid w:val="002602B3"/>
    <w:rsid w:val="00260A43"/>
    <w:rsid w:val="00263068"/>
    <w:rsid w:val="00271ABA"/>
    <w:rsid w:val="0027283B"/>
    <w:rsid w:val="00280062"/>
    <w:rsid w:val="0028019B"/>
    <w:rsid w:val="00282E73"/>
    <w:rsid w:val="00283CAB"/>
    <w:rsid w:val="0028525A"/>
    <w:rsid w:val="00293B30"/>
    <w:rsid w:val="002957C6"/>
    <w:rsid w:val="002967F1"/>
    <w:rsid w:val="00297F72"/>
    <w:rsid w:val="002A3FEF"/>
    <w:rsid w:val="002A458D"/>
    <w:rsid w:val="002B54A6"/>
    <w:rsid w:val="002C1700"/>
    <w:rsid w:val="002C4AD8"/>
    <w:rsid w:val="002C6C85"/>
    <w:rsid w:val="002C7BCE"/>
    <w:rsid w:val="002D6B63"/>
    <w:rsid w:val="002E1189"/>
    <w:rsid w:val="002E2BD9"/>
    <w:rsid w:val="002E67C9"/>
    <w:rsid w:val="002F12CC"/>
    <w:rsid w:val="002F3EE9"/>
    <w:rsid w:val="00300B43"/>
    <w:rsid w:val="00301922"/>
    <w:rsid w:val="00307F76"/>
    <w:rsid w:val="00321FBB"/>
    <w:rsid w:val="00322F63"/>
    <w:rsid w:val="00323AA4"/>
    <w:rsid w:val="00330355"/>
    <w:rsid w:val="003313EA"/>
    <w:rsid w:val="00333FAA"/>
    <w:rsid w:val="003355D7"/>
    <w:rsid w:val="00335DA5"/>
    <w:rsid w:val="003361DE"/>
    <w:rsid w:val="00352558"/>
    <w:rsid w:val="0036201C"/>
    <w:rsid w:val="00372E5A"/>
    <w:rsid w:val="00375398"/>
    <w:rsid w:val="00375BA5"/>
    <w:rsid w:val="00376768"/>
    <w:rsid w:val="003800A9"/>
    <w:rsid w:val="0038054A"/>
    <w:rsid w:val="00380851"/>
    <w:rsid w:val="00380F87"/>
    <w:rsid w:val="003A162B"/>
    <w:rsid w:val="003A60B6"/>
    <w:rsid w:val="003B01C6"/>
    <w:rsid w:val="003B2578"/>
    <w:rsid w:val="003B7CD6"/>
    <w:rsid w:val="003B7F30"/>
    <w:rsid w:val="003C270D"/>
    <w:rsid w:val="003C4BB4"/>
    <w:rsid w:val="003E1BCC"/>
    <w:rsid w:val="003F05F8"/>
    <w:rsid w:val="003F200F"/>
    <w:rsid w:val="003F3AFD"/>
    <w:rsid w:val="0040637C"/>
    <w:rsid w:val="004076C8"/>
    <w:rsid w:val="004135ED"/>
    <w:rsid w:val="00413D4F"/>
    <w:rsid w:val="004170BC"/>
    <w:rsid w:val="004207E3"/>
    <w:rsid w:val="00421A4C"/>
    <w:rsid w:val="00421DC1"/>
    <w:rsid w:val="004238C2"/>
    <w:rsid w:val="0042797C"/>
    <w:rsid w:val="00435B5D"/>
    <w:rsid w:val="004363F7"/>
    <w:rsid w:val="00437019"/>
    <w:rsid w:val="00437BE6"/>
    <w:rsid w:val="00443FC4"/>
    <w:rsid w:val="0044525C"/>
    <w:rsid w:val="00446DDE"/>
    <w:rsid w:val="004553F1"/>
    <w:rsid w:val="00462305"/>
    <w:rsid w:val="00467FBE"/>
    <w:rsid w:val="00471C1F"/>
    <w:rsid w:val="004759F3"/>
    <w:rsid w:val="004809FA"/>
    <w:rsid w:val="004908F0"/>
    <w:rsid w:val="004951A6"/>
    <w:rsid w:val="004A48C6"/>
    <w:rsid w:val="004A7D2C"/>
    <w:rsid w:val="004B444E"/>
    <w:rsid w:val="004B7004"/>
    <w:rsid w:val="004C091C"/>
    <w:rsid w:val="004C2D09"/>
    <w:rsid w:val="004C4A75"/>
    <w:rsid w:val="004D1370"/>
    <w:rsid w:val="004D20FC"/>
    <w:rsid w:val="004D27AE"/>
    <w:rsid w:val="004D2DA0"/>
    <w:rsid w:val="004D51C6"/>
    <w:rsid w:val="004D6831"/>
    <w:rsid w:val="004D73AC"/>
    <w:rsid w:val="004E14A4"/>
    <w:rsid w:val="004E609C"/>
    <w:rsid w:val="004E74C1"/>
    <w:rsid w:val="004F2D7D"/>
    <w:rsid w:val="004F5447"/>
    <w:rsid w:val="004F54BD"/>
    <w:rsid w:val="004F56C5"/>
    <w:rsid w:val="00506185"/>
    <w:rsid w:val="00523B2F"/>
    <w:rsid w:val="005268FA"/>
    <w:rsid w:val="00535194"/>
    <w:rsid w:val="005354D0"/>
    <w:rsid w:val="00537633"/>
    <w:rsid w:val="0054172C"/>
    <w:rsid w:val="005440E3"/>
    <w:rsid w:val="0054590F"/>
    <w:rsid w:val="005459EC"/>
    <w:rsid w:val="00550FF4"/>
    <w:rsid w:val="00551855"/>
    <w:rsid w:val="00555285"/>
    <w:rsid w:val="0057064C"/>
    <w:rsid w:val="005718B5"/>
    <w:rsid w:val="00575AF0"/>
    <w:rsid w:val="0057637F"/>
    <w:rsid w:val="005808FB"/>
    <w:rsid w:val="005811F8"/>
    <w:rsid w:val="00582605"/>
    <w:rsid w:val="005853C5"/>
    <w:rsid w:val="00585D47"/>
    <w:rsid w:val="00591016"/>
    <w:rsid w:val="005925B5"/>
    <w:rsid w:val="005A7E50"/>
    <w:rsid w:val="005B074E"/>
    <w:rsid w:val="005B3F67"/>
    <w:rsid w:val="005C675C"/>
    <w:rsid w:val="005D46C8"/>
    <w:rsid w:val="005D548F"/>
    <w:rsid w:val="005D6EF5"/>
    <w:rsid w:val="005E0F6F"/>
    <w:rsid w:val="005E1CE3"/>
    <w:rsid w:val="005E3A10"/>
    <w:rsid w:val="005E582C"/>
    <w:rsid w:val="005E7509"/>
    <w:rsid w:val="005F7840"/>
    <w:rsid w:val="00601D7F"/>
    <w:rsid w:val="00605A4C"/>
    <w:rsid w:val="0061019C"/>
    <w:rsid w:val="00614229"/>
    <w:rsid w:val="00616A59"/>
    <w:rsid w:val="0062251F"/>
    <w:rsid w:val="00626F75"/>
    <w:rsid w:val="006276E4"/>
    <w:rsid w:val="00636C12"/>
    <w:rsid w:val="00645B8B"/>
    <w:rsid w:val="00646FCC"/>
    <w:rsid w:val="006527DD"/>
    <w:rsid w:val="00652B95"/>
    <w:rsid w:val="0065471F"/>
    <w:rsid w:val="00655044"/>
    <w:rsid w:val="00666922"/>
    <w:rsid w:val="00670A05"/>
    <w:rsid w:val="00670F17"/>
    <w:rsid w:val="006710C7"/>
    <w:rsid w:val="00674987"/>
    <w:rsid w:val="006751F1"/>
    <w:rsid w:val="00691D25"/>
    <w:rsid w:val="00692843"/>
    <w:rsid w:val="00696A83"/>
    <w:rsid w:val="006A42B8"/>
    <w:rsid w:val="006B0457"/>
    <w:rsid w:val="006B2556"/>
    <w:rsid w:val="006B2AE2"/>
    <w:rsid w:val="006C3968"/>
    <w:rsid w:val="006C3FB1"/>
    <w:rsid w:val="006C580A"/>
    <w:rsid w:val="006C79E5"/>
    <w:rsid w:val="006D1E69"/>
    <w:rsid w:val="006E4C75"/>
    <w:rsid w:val="006E6618"/>
    <w:rsid w:val="006F057C"/>
    <w:rsid w:val="006F22DA"/>
    <w:rsid w:val="006F2EB3"/>
    <w:rsid w:val="00702209"/>
    <w:rsid w:val="00706B25"/>
    <w:rsid w:val="007116B1"/>
    <w:rsid w:val="00711DEB"/>
    <w:rsid w:val="00713387"/>
    <w:rsid w:val="00714BEE"/>
    <w:rsid w:val="00721215"/>
    <w:rsid w:val="007400CF"/>
    <w:rsid w:val="00740D96"/>
    <w:rsid w:val="0074649E"/>
    <w:rsid w:val="00746D5D"/>
    <w:rsid w:val="007474EE"/>
    <w:rsid w:val="00753B39"/>
    <w:rsid w:val="00762504"/>
    <w:rsid w:val="00777792"/>
    <w:rsid w:val="00782A67"/>
    <w:rsid w:val="007A2A57"/>
    <w:rsid w:val="007A6DE2"/>
    <w:rsid w:val="007B23FC"/>
    <w:rsid w:val="007C4A93"/>
    <w:rsid w:val="007D0C1D"/>
    <w:rsid w:val="007D2000"/>
    <w:rsid w:val="007D4DBF"/>
    <w:rsid w:val="007E4732"/>
    <w:rsid w:val="007E4BA4"/>
    <w:rsid w:val="007F004E"/>
    <w:rsid w:val="007F335A"/>
    <w:rsid w:val="007F727F"/>
    <w:rsid w:val="00803104"/>
    <w:rsid w:val="00812901"/>
    <w:rsid w:val="00815922"/>
    <w:rsid w:val="00826B9A"/>
    <w:rsid w:val="0082794A"/>
    <w:rsid w:val="00833C51"/>
    <w:rsid w:val="00840702"/>
    <w:rsid w:val="00842757"/>
    <w:rsid w:val="00843CC2"/>
    <w:rsid w:val="00844917"/>
    <w:rsid w:val="00851BA1"/>
    <w:rsid w:val="0085266D"/>
    <w:rsid w:val="008532D7"/>
    <w:rsid w:val="00861B89"/>
    <w:rsid w:val="008674E9"/>
    <w:rsid w:val="008709C8"/>
    <w:rsid w:val="00876054"/>
    <w:rsid w:val="0089028D"/>
    <w:rsid w:val="00894FC0"/>
    <w:rsid w:val="008A02D5"/>
    <w:rsid w:val="008A2E4B"/>
    <w:rsid w:val="008A5AA0"/>
    <w:rsid w:val="008B3737"/>
    <w:rsid w:val="008B528E"/>
    <w:rsid w:val="008E224D"/>
    <w:rsid w:val="008E59FC"/>
    <w:rsid w:val="008F3BF7"/>
    <w:rsid w:val="008F40FA"/>
    <w:rsid w:val="009054F5"/>
    <w:rsid w:val="00917FAF"/>
    <w:rsid w:val="0092530B"/>
    <w:rsid w:val="00927BAB"/>
    <w:rsid w:val="00933967"/>
    <w:rsid w:val="009341A6"/>
    <w:rsid w:val="00934CDD"/>
    <w:rsid w:val="0094208C"/>
    <w:rsid w:val="00942F17"/>
    <w:rsid w:val="00943236"/>
    <w:rsid w:val="00952CEF"/>
    <w:rsid w:val="00955421"/>
    <w:rsid w:val="00970B72"/>
    <w:rsid w:val="0097310F"/>
    <w:rsid w:val="0098609C"/>
    <w:rsid w:val="00990E9C"/>
    <w:rsid w:val="00992472"/>
    <w:rsid w:val="00993E91"/>
    <w:rsid w:val="00994542"/>
    <w:rsid w:val="00994908"/>
    <w:rsid w:val="009A754D"/>
    <w:rsid w:val="009B160B"/>
    <w:rsid w:val="009B2148"/>
    <w:rsid w:val="009C237B"/>
    <w:rsid w:val="009C4C60"/>
    <w:rsid w:val="009C57CA"/>
    <w:rsid w:val="009D318C"/>
    <w:rsid w:val="009D488D"/>
    <w:rsid w:val="009E3DF5"/>
    <w:rsid w:val="009E5A93"/>
    <w:rsid w:val="009E6829"/>
    <w:rsid w:val="009F3154"/>
    <w:rsid w:val="009F5A53"/>
    <w:rsid w:val="009F68DC"/>
    <w:rsid w:val="00A1211C"/>
    <w:rsid w:val="00A141B2"/>
    <w:rsid w:val="00A20113"/>
    <w:rsid w:val="00A20D78"/>
    <w:rsid w:val="00A2215F"/>
    <w:rsid w:val="00A22839"/>
    <w:rsid w:val="00A23E19"/>
    <w:rsid w:val="00A310C2"/>
    <w:rsid w:val="00A320CF"/>
    <w:rsid w:val="00A325C9"/>
    <w:rsid w:val="00A33185"/>
    <w:rsid w:val="00A34740"/>
    <w:rsid w:val="00A36774"/>
    <w:rsid w:val="00A37973"/>
    <w:rsid w:val="00A53B04"/>
    <w:rsid w:val="00A56BBB"/>
    <w:rsid w:val="00A57A54"/>
    <w:rsid w:val="00A63234"/>
    <w:rsid w:val="00A643D6"/>
    <w:rsid w:val="00A65C3E"/>
    <w:rsid w:val="00A661F4"/>
    <w:rsid w:val="00A66326"/>
    <w:rsid w:val="00A70269"/>
    <w:rsid w:val="00A708D3"/>
    <w:rsid w:val="00A7271A"/>
    <w:rsid w:val="00A74D79"/>
    <w:rsid w:val="00A81E19"/>
    <w:rsid w:val="00A9097C"/>
    <w:rsid w:val="00A926C9"/>
    <w:rsid w:val="00A9723B"/>
    <w:rsid w:val="00A975F7"/>
    <w:rsid w:val="00AA16DC"/>
    <w:rsid w:val="00AA3D56"/>
    <w:rsid w:val="00AB18EF"/>
    <w:rsid w:val="00AB795F"/>
    <w:rsid w:val="00AC260B"/>
    <w:rsid w:val="00AC2CFF"/>
    <w:rsid w:val="00AC6312"/>
    <w:rsid w:val="00AC6412"/>
    <w:rsid w:val="00AD1E77"/>
    <w:rsid w:val="00AD6D80"/>
    <w:rsid w:val="00AE0185"/>
    <w:rsid w:val="00AF769B"/>
    <w:rsid w:val="00B03F80"/>
    <w:rsid w:val="00B05CEE"/>
    <w:rsid w:val="00B10D61"/>
    <w:rsid w:val="00B1160D"/>
    <w:rsid w:val="00B139FB"/>
    <w:rsid w:val="00B20185"/>
    <w:rsid w:val="00B30263"/>
    <w:rsid w:val="00B3621C"/>
    <w:rsid w:val="00B424B8"/>
    <w:rsid w:val="00B444E6"/>
    <w:rsid w:val="00B44DC6"/>
    <w:rsid w:val="00B52011"/>
    <w:rsid w:val="00B53EFF"/>
    <w:rsid w:val="00B54AFA"/>
    <w:rsid w:val="00B671A4"/>
    <w:rsid w:val="00B76C5D"/>
    <w:rsid w:val="00B77F84"/>
    <w:rsid w:val="00B804E8"/>
    <w:rsid w:val="00B919E6"/>
    <w:rsid w:val="00BA55E3"/>
    <w:rsid w:val="00BB17EB"/>
    <w:rsid w:val="00BB194C"/>
    <w:rsid w:val="00BC0104"/>
    <w:rsid w:val="00BC206C"/>
    <w:rsid w:val="00BC431A"/>
    <w:rsid w:val="00BC51AC"/>
    <w:rsid w:val="00BC7190"/>
    <w:rsid w:val="00BD3490"/>
    <w:rsid w:val="00BE580E"/>
    <w:rsid w:val="00BF077C"/>
    <w:rsid w:val="00BF206B"/>
    <w:rsid w:val="00BF5AFA"/>
    <w:rsid w:val="00C01A35"/>
    <w:rsid w:val="00C02A81"/>
    <w:rsid w:val="00C03772"/>
    <w:rsid w:val="00C04EDA"/>
    <w:rsid w:val="00C1024F"/>
    <w:rsid w:val="00C119A2"/>
    <w:rsid w:val="00C227B1"/>
    <w:rsid w:val="00C257B5"/>
    <w:rsid w:val="00C53F1A"/>
    <w:rsid w:val="00C554BB"/>
    <w:rsid w:val="00C57267"/>
    <w:rsid w:val="00C60C54"/>
    <w:rsid w:val="00C616FF"/>
    <w:rsid w:val="00C62B63"/>
    <w:rsid w:val="00C62FCD"/>
    <w:rsid w:val="00C63352"/>
    <w:rsid w:val="00C6495A"/>
    <w:rsid w:val="00C66F49"/>
    <w:rsid w:val="00C72806"/>
    <w:rsid w:val="00C72B5B"/>
    <w:rsid w:val="00C73557"/>
    <w:rsid w:val="00C7480E"/>
    <w:rsid w:val="00C86702"/>
    <w:rsid w:val="00C869F3"/>
    <w:rsid w:val="00CA1C38"/>
    <w:rsid w:val="00CA4666"/>
    <w:rsid w:val="00CB43F8"/>
    <w:rsid w:val="00CC153E"/>
    <w:rsid w:val="00CC18AC"/>
    <w:rsid w:val="00CC3A41"/>
    <w:rsid w:val="00CC5A16"/>
    <w:rsid w:val="00CD7D5D"/>
    <w:rsid w:val="00CE04D6"/>
    <w:rsid w:val="00CE4E79"/>
    <w:rsid w:val="00CF0621"/>
    <w:rsid w:val="00CF0FC4"/>
    <w:rsid w:val="00CF5BF8"/>
    <w:rsid w:val="00CF6932"/>
    <w:rsid w:val="00D01FE3"/>
    <w:rsid w:val="00D0381E"/>
    <w:rsid w:val="00D03D8F"/>
    <w:rsid w:val="00D06CA3"/>
    <w:rsid w:val="00D07F46"/>
    <w:rsid w:val="00D170E5"/>
    <w:rsid w:val="00D25B4D"/>
    <w:rsid w:val="00D31A8A"/>
    <w:rsid w:val="00D3458C"/>
    <w:rsid w:val="00D377C1"/>
    <w:rsid w:val="00D378AC"/>
    <w:rsid w:val="00D37F2F"/>
    <w:rsid w:val="00D415B9"/>
    <w:rsid w:val="00D528E8"/>
    <w:rsid w:val="00D54141"/>
    <w:rsid w:val="00D60F48"/>
    <w:rsid w:val="00D63AA4"/>
    <w:rsid w:val="00D72156"/>
    <w:rsid w:val="00D7468D"/>
    <w:rsid w:val="00D771D0"/>
    <w:rsid w:val="00D81CF4"/>
    <w:rsid w:val="00D835CF"/>
    <w:rsid w:val="00D9043E"/>
    <w:rsid w:val="00D90757"/>
    <w:rsid w:val="00D9141D"/>
    <w:rsid w:val="00D941A8"/>
    <w:rsid w:val="00DA176F"/>
    <w:rsid w:val="00DA26FB"/>
    <w:rsid w:val="00DA36BE"/>
    <w:rsid w:val="00DA37ED"/>
    <w:rsid w:val="00DA65A3"/>
    <w:rsid w:val="00DB68F3"/>
    <w:rsid w:val="00DB6C3D"/>
    <w:rsid w:val="00DB6EF3"/>
    <w:rsid w:val="00DC01B5"/>
    <w:rsid w:val="00DC5ACF"/>
    <w:rsid w:val="00DD1A07"/>
    <w:rsid w:val="00DD3573"/>
    <w:rsid w:val="00DD4AD3"/>
    <w:rsid w:val="00DD7468"/>
    <w:rsid w:val="00DE25E9"/>
    <w:rsid w:val="00DE71D3"/>
    <w:rsid w:val="00DE72CF"/>
    <w:rsid w:val="00DF08A0"/>
    <w:rsid w:val="00DF4F40"/>
    <w:rsid w:val="00E02343"/>
    <w:rsid w:val="00E0358B"/>
    <w:rsid w:val="00E12774"/>
    <w:rsid w:val="00E12C5E"/>
    <w:rsid w:val="00E13BEF"/>
    <w:rsid w:val="00E21F3D"/>
    <w:rsid w:val="00E25487"/>
    <w:rsid w:val="00E30354"/>
    <w:rsid w:val="00E36782"/>
    <w:rsid w:val="00E372FE"/>
    <w:rsid w:val="00E47473"/>
    <w:rsid w:val="00E479AC"/>
    <w:rsid w:val="00E50724"/>
    <w:rsid w:val="00E55E3C"/>
    <w:rsid w:val="00E56159"/>
    <w:rsid w:val="00E65B2E"/>
    <w:rsid w:val="00E67841"/>
    <w:rsid w:val="00E70760"/>
    <w:rsid w:val="00E74A7C"/>
    <w:rsid w:val="00E77A7B"/>
    <w:rsid w:val="00E9253C"/>
    <w:rsid w:val="00E92F32"/>
    <w:rsid w:val="00E96A3B"/>
    <w:rsid w:val="00EA29D8"/>
    <w:rsid w:val="00EA5D84"/>
    <w:rsid w:val="00EB2B2F"/>
    <w:rsid w:val="00EB3B7F"/>
    <w:rsid w:val="00EB3CF0"/>
    <w:rsid w:val="00EB45B5"/>
    <w:rsid w:val="00EB5E57"/>
    <w:rsid w:val="00EB61DB"/>
    <w:rsid w:val="00EC4774"/>
    <w:rsid w:val="00EC6134"/>
    <w:rsid w:val="00ED1AD0"/>
    <w:rsid w:val="00ED4AFD"/>
    <w:rsid w:val="00ED6776"/>
    <w:rsid w:val="00EE3EEE"/>
    <w:rsid w:val="00EE4FBE"/>
    <w:rsid w:val="00EE6BEA"/>
    <w:rsid w:val="00F038A1"/>
    <w:rsid w:val="00F06E4E"/>
    <w:rsid w:val="00F113AB"/>
    <w:rsid w:val="00F1346D"/>
    <w:rsid w:val="00F14592"/>
    <w:rsid w:val="00F238E0"/>
    <w:rsid w:val="00F309EE"/>
    <w:rsid w:val="00F339F8"/>
    <w:rsid w:val="00F34532"/>
    <w:rsid w:val="00F37919"/>
    <w:rsid w:val="00F509A1"/>
    <w:rsid w:val="00F51B77"/>
    <w:rsid w:val="00F51E01"/>
    <w:rsid w:val="00F53B15"/>
    <w:rsid w:val="00F5649A"/>
    <w:rsid w:val="00F67DC5"/>
    <w:rsid w:val="00F754E5"/>
    <w:rsid w:val="00F80506"/>
    <w:rsid w:val="00F82342"/>
    <w:rsid w:val="00F84C83"/>
    <w:rsid w:val="00F877DB"/>
    <w:rsid w:val="00F91AE4"/>
    <w:rsid w:val="00F93C8B"/>
    <w:rsid w:val="00F9435C"/>
    <w:rsid w:val="00F959DD"/>
    <w:rsid w:val="00F960D5"/>
    <w:rsid w:val="00FB1231"/>
    <w:rsid w:val="00FC1C5C"/>
    <w:rsid w:val="00FC7C93"/>
    <w:rsid w:val="00FD1BEC"/>
    <w:rsid w:val="00FE17E2"/>
    <w:rsid w:val="00FE2A04"/>
    <w:rsid w:val="00FE375E"/>
    <w:rsid w:val="00FE3D32"/>
    <w:rsid w:val="00FE563D"/>
    <w:rsid w:val="00FF6E4B"/>
    <w:rsid w:val="32959AF1"/>
    <w:rsid w:val="49CFD7D8"/>
    <w:rsid w:val="55DAD3D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character" w:styleId="CommentReference">
    <w:name w:val="annotation reference"/>
    <w:basedOn w:val="DefaultParagraphFont"/>
    <w:semiHidden/>
    <w:unhideWhenUsed/>
    <w:rsid w:val="00D377C1"/>
    <w:rPr>
      <w:sz w:val="16"/>
      <w:szCs w:val="16"/>
    </w:rPr>
  </w:style>
  <w:style w:type="paragraph" w:styleId="CommentText">
    <w:name w:val="annotation text"/>
    <w:basedOn w:val="Normal"/>
    <w:link w:val="CommentTextChar"/>
    <w:semiHidden/>
    <w:unhideWhenUsed/>
    <w:rsid w:val="00D377C1"/>
    <w:rPr>
      <w:sz w:val="20"/>
    </w:rPr>
  </w:style>
  <w:style w:type="character" w:customStyle="1" w:styleId="CommentTextChar">
    <w:name w:val="Comment Text Char"/>
    <w:basedOn w:val="DefaultParagraphFont"/>
    <w:link w:val="CommentText"/>
    <w:semiHidden/>
    <w:rsid w:val="00D377C1"/>
    <w:rPr>
      <w:rFonts w:ascii="Arial" w:hAnsi="Arial"/>
      <w:lang w:eastAsia="en-US"/>
    </w:rPr>
  </w:style>
  <w:style w:type="paragraph" w:styleId="CommentSubject">
    <w:name w:val="annotation subject"/>
    <w:basedOn w:val="CommentText"/>
    <w:next w:val="CommentText"/>
    <w:link w:val="CommentSubjectChar"/>
    <w:semiHidden/>
    <w:unhideWhenUsed/>
    <w:rsid w:val="00D377C1"/>
    <w:rPr>
      <w:b/>
      <w:bCs/>
    </w:rPr>
  </w:style>
  <w:style w:type="character" w:customStyle="1" w:styleId="CommentSubjectChar">
    <w:name w:val="Comment Subject Char"/>
    <w:basedOn w:val="CommentTextChar"/>
    <w:link w:val="CommentSubject"/>
    <w:semiHidden/>
    <w:rsid w:val="00D377C1"/>
    <w:rPr>
      <w:rFonts w:ascii="Arial" w:hAnsi="Arial"/>
      <w:b/>
      <w:bCs/>
      <w:lang w:eastAsia="en-US"/>
    </w:rPr>
  </w:style>
  <w:style w:type="paragraph" w:customStyle="1" w:styleId="Default">
    <w:name w:val="Default"/>
    <w:rsid w:val="00105B8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ita.cacchioli@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580578B58344490EB8EB93E461CEA" ma:contentTypeVersion="4" ma:contentTypeDescription="Create a new document." ma:contentTypeScope="" ma:versionID="769b112fd919d951dfe6b8be899b8163">
  <xsd:schema xmlns:xsd="http://www.w3.org/2001/XMLSchema" xmlns:xs="http://www.w3.org/2001/XMLSchema" xmlns:p="http://schemas.microsoft.com/office/2006/metadata/properties" xmlns:ns3="bd9abb55-e49f-44e7-a271-680f3903bc4a" targetNamespace="http://schemas.microsoft.com/office/2006/metadata/properties" ma:root="true" ma:fieldsID="3ba80deebe2100c2e750be8efaf21115" ns3:_="">
    <xsd:import namespace="bd9abb55-e49f-44e7-a271-680f3903b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abb55-e49f-44e7-a271-680f3903b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2BC6-4304-4238-804D-F9271B6B9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abb55-e49f-44e7-a271-680f3903b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C516AA7-B962-490E-9379-3431F06B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1928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4</cp:revision>
  <cp:lastPrinted>2014-10-31T16:34:00Z</cp:lastPrinted>
  <dcterms:created xsi:type="dcterms:W3CDTF">2021-09-07T16:52:00Z</dcterms:created>
  <dcterms:modified xsi:type="dcterms:W3CDTF">2021-09-15T14:10:00Z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0x01010000A580578B58344490EB8EB93E461CEA</vt:lpwstr>
  </property>
  <property fmtid="{D5CDD505-2E9C-101B-9397-08002B2CF9AE}" pid="3" name="TaxKeyword">
    <vt:lpwstr>108;#Cabinet Report Template|b79b58f4-03f4-47dd-bec7-7bae4bc4af23</vt:lpwstr>
  </property>
</Properties>
</file>